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03928" w14:textId="77777777" w:rsidR="00CF4FCA" w:rsidRDefault="00F0335C">
      <w:pPr>
        <w:spacing w:beforeLines="50" w:before="156" w:afterLines="100" w:after="312"/>
        <w:jc w:val="center"/>
        <w:rPr>
          <w:rFonts w:ascii="微软雅黑" w:eastAsia="微软雅黑" w:hAnsi="微软雅黑"/>
          <w:b/>
          <w:color w:val="000000" w:themeColor="text1"/>
          <w:sz w:val="32"/>
          <w:szCs w:val="32"/>
        </w:rPr>
      </w:pPr>
      <w:r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每周</w:t>
      </w:r>
      <w:r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锅炉</w:t>
      </w:r>
      <w:r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安全排查治理报告</w:t>
      </w:r>
    </w:p>
    <w:p w14:paraId="4BED8008" w14:textId="77777777" w:rsidR="00CF4FCA" w:rsidRDefault="00F0335C">
      <w:pPr>
        <w:ind w:right="840"/>
        <w:jc w:val="center"/>
        <w:rPr>
          <w:rFonts w:ascii="微软雅黑" w:eastAsia="微软雅黑" w:hAnsi="微软雅黑"/>
          <w:bCs/>
          <w:color w:val="000000" w:themeColor="text1"/>
          <w:sz w:val="24"/>
        </w:rPr>
      </w:pPr>
      <w:r>
        <w:rPr>
          <w:rFonts w:ascii="微软雅黑" w:eastAsia="微软雅黑" w:hAnsi="微软雅黑" w:hint="eastAsia"/>
          <w:color w:val="000000" w:themeColor="text1"/>
        </w:rPr>
        <w:t xml:space="preserve">                                                      </w:t>
      </w:r>
      <w:r>
        <w:rPr>
          <w:rFonts w:ascii="微软雅黑" w:eastAsia="微软雅黑" w:hAnsi="微软雅黑" w:hint="eastAsia"/>
          <w:color w:val="000000" w:themeColor="text1"/>
          <w:sz w:val="24"/>
        </w:rPr>
        <w:t xml:space="preserve">              </w:t>
      </w:r>
      <w:r>
        <w:rPr>
          <w:rFonts w:ascii="微软雅黑" w:eastAsia="微软雅黑" w:hAnsi="微软雅黑" w:hint="eastAsia"/>
          <w:b/>
          <w:color w:val="000000" w:themeColor="text1"/>
          <w:sz w:val="24"/>
        </w:rPr>
        <w:t>报告编号：</w:t>
      </w:r>
      <w:r>
        <w:rPr>
          <w:rFonts w:ascii="微软雅黑" w:eastAsia="微软雅黑" w:hAnsi="微软雅黑" w:hint="eastAsia"/>
          <w:bCs/>
          <w:color w:val="000000" w:themeColor="text1"/>
          <w:sz w:val="24"/>
        </w:rPr>
        <w:t>20</w:t>
      </w:r>
      <w:r>
        <w:rPr>
          <w:rFonts w:ascii="微软雅黑" w:eastAsia="微软雅黑" w:hAnsi="微软雅黑"/>
          <w:bCs/>
          <w:color w:val="000000" w:themeColor="text1"/>
          <w:sz w:val="24"/>
        </w:rPr>
        <w:t>2</w:t>
      </w:r>
      <w:r>
        <w:rPr>
          <w:rFonts w:ascii="微软雅黑" w:eastAsia="微软雅黑" w:hAnsi="微软雅黑" w:hint="eastAsia"/>
          <w:bCs/>
          <w:color w:val="000000" w:themeColor="text1"/>
          <w:sz w:val="24"/>
        </w:rPr>
        <w:t>30416</w:t>
      </w:r>
    </w:p>
    <w:tbl>
      <w:tblPr>
        <w:tblStyle w:val="a4"/>
        <w:tblW w:w="4750" w:type="pct"/>
        <w:jc w:val="center"/>
        <w:tblLook w:val="04A0" w:firstRow="1" w:lastRow="0" w:firstColumn="1" w:lastColumn="0" w:noHBand="0" w:noVBand="1"/>
      </w:tblPr>
      <w:tblGrid>
        <w:gridCol w:w="2892"/>
        <w:gridCol w:w="2690"/>
        <w:gridCol w:w="522"/>
        <w:gridCol w:w="1881"/>
        <w:gridCol w:w="2454"/>
      </w:tblGrid>
      <w:tr w:rsidR="00CF4FCA" w14:paraId="16807271" w14:textId="77777777">
        <w:trPr>
          <w:jc w:val="center"/>
        </w:trPr>
        <w:tc>
          <w:tcPr>
            <w:tcW w:w="5582" w:type="dxa"/>
            <w:gridSpan w:val="2"/>
          </w:tcPr>
          <w:p w14:paraId="71559E33" w14:textId="77777777" w:rsidR="00CF4FCA" w:rsidRDefault="00F0335C">
            <w:pPr>
              <w:ind w:right="84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收件人：</w:t>
            </w:r>
          </w:p>
        </w:tc>
        <w:tc>
          <w:tcPr>
            <w:tcW w:w="4857" w:type="dxa"/>
            <w:gridSpan w:val="3"/>
          </w:tcPr>
          <w:p w14:paraId="7CA30EEC" w14:textId="77777777" w:rsidR="00CF4FCA" w:rsidRDefault="00F0335C">
            <w:pPr>
              <w:ind w:right="84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抄送：</w:t>
            </w:r>
          </w:p>
        </w:tc>
      </w:tr>
      <w:tr w:rsidR="00CF4FCA" w14:paraId="68DA5E5E" w14:textId="77777777">
        <w:trPr>
          <w:jc w:val="center"/>
        </w:trPr>
        <w:tc>
          <w:tcPr>
            <w:tcW w:w="10439" w:type="dxa"/>
            <w:gridSpan w:val="5"/>
          </w:tcPr>
          <w:p w14:paraId="58B31285" w14:textId="77777777" w:rsidR="00CF4FCA" w:rsidRDefault="00F0335C">
            <w:pPr>
              <w:ind w:right="84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报告周期：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2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02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3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年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04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月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1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0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日—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202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3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年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04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月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6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日</w:t>
            </w:r>
          </w:p>
        </w:tc>
      </w:tr>
      <w:tr w:rsidR="00CF4FCA" w14:paraId="7750B4CA" w14:textId="77777777">
        <w:trPr>
          <w:jc w:val="center"/>
        </w:trPr>
        <w:tc>
          <w:tcPr>
            <w:tcW w:w="10439" w:type="dxa"/>
            <w:gridSpan w:val="5"/>
          </w:tcPr>
          <w:p w14:paraId="1C632520" w14:textId="77777777" w:rsidR="00CF4FCA" w:rsidRDefault="00F0335C">
            <w:pPr>
              <w:ind w:right="84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报告内容：</w:t>
            </w:r>
          </w:p>
          <w:p w14:paraId="22940276" w14:textId="77777777" w:rsidR="00CF4FCA" w:rsidRDefault="00F0335C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本周主要存在的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锅炉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安全风险隐患</w:t>
            </w:r>
          </w:p>
          <w:p w14:paraId="232F276F" w14:textId="77777777" w:rsidR="00CF4FCA" w:rsidRDefault="00F0335C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企业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锅炉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资质是否满足合规性要求</w:t>
            </w:r>
          </w:p>
          <w:p w14:paraId="63089A80" w14:textId="77777777" w:rsidR="00CF4FCA" w:rsidRDefault="00F0335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5C1BFDC9" w14:textId="77777777" w:rsidR="00CF4FCA" w:rsidRDefault="00CF4FCA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38E3E754" w14:textId="77777777" w:rsidR="00CF4FCA" w:rsidRDefault="00F0335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1A2E5D28" w14:textId="77777777" w:rsidR="00CF4FCA" w:rsidRDefault="00CF4FCA">
            <w:pPr>
              <w:ind w:right="840" w:firstLineChars="655" w:firstLine="1572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7FB880A0" w14:textId="77777777" w:rsidR="00CF4FCA" w:rsidRDefault="00F0335C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生产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运行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条件的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锅炉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安全风险评估</w:t>
            </w:r>
          </w:p>
          <w:p w14:paraId="642B63B2" w14:textId="77777777" w:rsidR="00CF4FCA" w:rsidRDefault="00F0335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6F9CA151" w14:textId="77777777" w:rsidR="00CF4FCA" w:rsidRDefault="00CF4FCA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66E591B7" w14:textId="77777777" w:rsidR="00CF4FCA" w:rsidRDefault="00F0335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10140BE6" w14:textId="77777777" w:rsidR="00CF4FCA" w:rsidRDefault="00CF4FCA">
            <w:pPr>
              <w:pStyle w:val="a5"/>
              <w:ind w:firstLineChars="0" w:firstLine="0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6C19380A" w14:textId="77777777" w:rsidR="00CF4FCA" w:rsidRDefault="00F0335C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作业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人员管理情况的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锅炉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安全风险评估</w:t>
            </w:r>
          </w:p>
          <w:p w14:paraId="1E87CE66" w14:textId="77777777" w:rsidR="00CF4FCA" w:rsidRDefault="00F0335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5B05CEC8" w14:textId="77777777" w:rsidR="00CF4FCA" w:rsidRDefault="00CF4FCA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08DAC38C" w14:textId="77777777" w:rsidR="00CF4FCA" w:rsidRDefault="00F0335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4B8C931F" w14:textId="77777777" w:rsidR="00CF4FCA" w:rsidRDefault="00CF4FCA">
            <w:pPr>
              <w:ind w:firstLineChars="489" w:firstLine="1174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6AF4EE1E" w14:textId="77777777" w:rsidR="00CF4FCA" w:rsidRDefault="00F0335C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lastRenderedPageBreak/>
              <w:t xml:space="preserve"> 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信息记录和追溯</w:t>
            </w:r>
          </w:p>
          <w:p w14:paraId="515FD747" w14:textId="77777777" w:rsidR="00CF4FCA" w:rsidRDefault="00F0335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64D2ABA9" w14:textId="77777777" w:rsidR="00CF4FCA" w:rsidRDefault="00CF4FCA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01106FAE" w14:textId="77777777" w:rsidR="00CF4FCA" w:rsidRDefault="00F0335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6E990E4C" w14:textId="77777777" w:rsidR="00CF4FCA" w:rsidRDefault="00CF4FCA">
            <w:pPr>
              <w:pStyle w:val="a5"/>
              <w:ind w:firstLineChars="537" w:firstLine="1289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00C65A46" w14:textId="77777777" w:rsidR="00CF4FCA" w:rsidRDefault="00F0335C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锅炉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安全事故处置情况</w:t>
            </w:r>
          </w:p>
          <w:p w14:paraId="5481D438" w14:textId="77777777" w:rsidR="00CF4FCA" w:rsidRDefault="00F0335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13B7494E" w14:textId="77777777" w:rsidR="00CF4FCA" w:rsidRDefault="00CF4FCA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7983F5EC" w14:textId="77777777" w:rsidR="00CF4FCA" w:rsidRDefault="00F0335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567E4E9A" w14:textId="77777777" w:rsidR="00CF4FCA" w:rsidRDefault="00CF4FCA">
            <w:pPr>
              <w:pStyle w:val="a5"/>
              <w:ind w:firstLineChars="537" w:firstLine="1289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469A4B21" w14:textId="77777777" w:rsidR="00CF4FCA" w:rsidRDefault="00F0335C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其他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锅炉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安全隐患风险排查情况</w:t>
            </w:r>
          </w:p>
          <w:p w14:paraId="2840FB05" w14:textId="77777777" w:rsidR="00CF4FCA" w:rsidRDefault="00F0335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5FEAB3F9" w14:textId="77777777" w:rsidR="00CF4FCA" w:rsidRDefault="00CF4FCA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4A074A66" w14:textId="77777777" w:rsidR="00CF4FCA" w:rsidRDefault="00F0335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14BDF6F6" w14:textId="77777777" w:rsidR="00CF4FCA" w:rsidRDefault="00CF4FCA">
            <w:pPr>
              <w:ind w:right="840" w:firstLineChars="655" w:firstLine="1572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56B7EEEB" w14:textId="77777777" w:rsidR="00CF4FCA" w:rsidRDefault="00F0335C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上一周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锅炉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安全风险隐患问题整改落实情况</w:t>
            </w:r>
          </w:p>
          <w:p w14:paraId="69558602" w14:textId="77777777" w:rsidR="00CF4FCA" w:rsidRDefault="00CF4FCA">
            <w:pPr>
              <w:ind w:firstLineChars="301" w:firstLine="722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1102F65D" w14:textId="77777777" w:rsidR="00CF4FCA" w:rsidRDefault="00F0335C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本周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锅炉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安全管理情况评价</w:t>
            </w:r>
          </w:p>
          <w:p w14:paraId="39B1F606" w14:textId="77777777" w:rsidR="00CF4FCA" w:rsidRDefault="00F0335C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00B05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sym w:font="Wingdings 2" w:char="F052"/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color w:val="00B050"/>
                <w:sz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锅炉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安全风险可控，无较大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锅炉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安全风险隐患。</w:t>
            </w:r>
          </w:p>
          <w:p w14:paraId="7B380C68" w14:textId="77777777" w:rsidR="00CF4FCA" w:rsidRDefault="00F0335C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990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sym w:font="Wingdings 2" w:char="F0A3"/>
            </w:r>
            <w:r>
              <w:rPr>
                <w:rFonts w:ascii="微软雅黑" w:eastAsia="微软雅黑" w:hAnsi="微软雅黑"/>
                <w:bCs/>
                <w:color w:val="FF9900"/>
                <w:sz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存在</w:t>
            </w: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锅炉</w:t>
            </w: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安全风险隐患，需尽快采取防范措施。</w:t>
            </w:r>
          </w:p>
          <w:p w14:paraId="3040F5E2" w14:textId="77777777" w:rsidR="00CF4FCA" w:rsidRDefault="00F0335C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000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sym w:font="Wingdings 2" w:char="F0A3"/>
            </w:r>
            <w:r>
              <w:rPr>
                <w:rFonts w:ascii="微软雅黑" w:eastAsia="微软雅黑" w:hAnsi="微软雅黑"/>
                <w:bCs/>
                <w:color w:val="FF0000"/>
                <w:sz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存在严重</w:t>
            </w: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锅炉</w:t>
            </w: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安全风险隐患，需尽快采取防范措施，请公司负责人重视。</w:t>
            </w:r>
          </w:p>
          <w:p w14:paraId="47259B92" w14:textId="77777777" w:rsidR="00CF4FCA" w:rsidRDefault="00CF4FCA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0000"/>
                <w:sz w:val="24"/>
              </w:rPr>
            </w:pPr>
          </w:p>
          <w:p w14:paraId="08CDF9EC" w14:textId="77777777" w:rsidR="00CF4FCA" w:rsidRDefault="00F0335C">
            <w:pPr>
              <w:pStyle w:val="a5"/>
              <w:numPr>
                <w:ilvl w:val="0"/>
                <w:numId w:val="1"/>
              </w:numPr>
              <w:spacing w:beforeLines="50" w:before="156"/>
              <w:ind w:right="839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下周工作重点</w:t>
            </w:r>
          </w:p>
          <w:p w14:paraId="60F989F4" w14:textId="77777777" w:rsidR="00CF4FCA" w:rsidRDefault="00CF4FCA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602E50D2" w14:textId="77777777" w:rsidR="00CF4FCA" w:rsidRDefault="00CF4FCA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6BDF79CE" w14:textId="77777777" w:rsidR="00CF4FCA" w:rsidRDefault="00CF4FCA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</w:tc>
      </w:tr>
      <w:tr w:rsidR="00CF4FCA" w14:paraId="67F7E6FA" w14:textId="77777777">
        <w:trPr>
          <w:trHeight w:val="752"/>
          <w:jc w:val="center"/>
        </w:trPr>
        <w:tc>
          <w:tcPr>
            <w:tcW w:w="2892" w:type="dxa"/>
          </w:tcPr>
          <w:p w14:paraId="6E34AB62" w14:textId="77777777" w:rsidR="00CF4FCA" w:rsidRDefault="00F0335C">
            <w:pPr>
              <w:ind w:right="-108"/>
              <w:jc w:val="center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lastRenderedPageBreak/>
              <w:t>报告人</w:t>
            </w:r>
          </w:p>
        </w:tc>
        <w:tc>
          <w:tcPr>
            <w:tcW w:w="3212" w:type="dxa"/>
            <w:gridSpan w:val="2"/>
          </w:tcPr>
          <w:p w14:paraId="759FAE22" w14:textId="77777777" w:rsidR="00CF4FCA" w:rsidRDefault="00CF4FCA">
            <w:pPr>
              <w:ind w:right="840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</w:tc>
        <w:tc>
          <w:tcPr>
            <w:tcW w:w="1881" w:type="dxa"/>
          </w:tcPr>
          <w:p w14:paraId="09E83EF9" w14:textId="77777777" w:rsidR="00CF4FCA" w:rsidRDefault="00F0335C">
            <w:pPr>
              <w:ind w:right="-107"/>
              <w:jc w:val="center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报告日期</w:t>
            </w:r>
          </w:p>
        </w:tc>
        <w:tc>
          <w:tcPr>
            <w:tcW w:w="2454" w:type="dxa"/>
          </w:tcPr>
          <w:p w14:paraId="2DC48A3C" w14:textId="77777777" w:rsidR="00CF4FCA" w:rsidRDefault="00CF4FCA">
            <w:pPr>
              <w:ind w:right="840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</w:tc>
      </w:tr>
    </w:tbl>
    <w:p w14:paraId="2C64F417" w14:textId="77777777" w:rsidR="00CF4FCA" w:rsidRDefault="00CF4FCA">
      <w:pPr>
        <w:ind w:right="840"/>
        <w:jc w:val="left"/>
        <w:rPr>
          <w:rFonts w:ascii="微软雅黑" w:eastAsia="微软雅黑" w:hAnsi="微软雅黑"/>
          <w:bCs/>
          <w:color w:val="000000" w:themeColor="text1"/>
          <w:sz w:val="10"/>
          <w:szCs w:val="10"/>
        </w:rPr>
      </w:pPr>
    </w:p>
    <w:p w14:paraId="37F4E614" w14:textId="77777777" w:rsidR="00CF4FCA" w:rsidRDefault="00CF4FCA"/>
    <w:sectPr w:rsidR="00CF4FCA">
      <w:headerReference w:type="default" r:id="rId7"/>
      <w:pgSz w:w="11906" w:h="16838"/>
      <w:pgMar w:top="1418" w:right="567" w:bottom="1418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FC846" w14:textId="77777777" w:rsidR="00000000" w:rsidRDefault="00F0335C">
      <w:r>
        <w:separator/>
      </w:r>
    </w:p>
  </w:endnote>
  <w:endnote w:type="continuationSeparator" w:id="0">
    <w:p w14:paraId="0024D52B" w14:textId="77777777" w:rsidR="00000000" w:rsidRDefault="00F0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636E5" w14:textId="77777777" w:rsidR="00000000" w:rsidRDefault="00F0335C">
      <w:r>
        <w:separator/>
      </w:r>
    </w:p>
  </w:footnote>
  <w:footnote w:type="continuationSeparator" w:id="0">
    <w:p w14:paraId="2C5EF2B5" w14:textId="77777777" w:rsidR="00000000" w:rsidRDefault="00F03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55583" w14:textId="77777777" w:rsidR="00CF4FCA" w:rsidRDefault="00CF4FCA">
    <w:pPr>
      <w:pStyle w:val="a3"/>
      <w:jc w:val="both"/>
      <w:rPr>
        <w:rFonts w:ascii="BankGothic Md BT" w:hAnsi="BankGothic Md BT" w:hint="eastAsia"/>
        <w:b/>
        <w:color w:val="808080" w:themeColor="background1" w:themeShade="8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A33A7"/>
    <w:multiLevelType w:val="multilevel"/>
    <w:tmpl w:val="0E1A33A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0B1E1A"/>
    <w:multiLevelType w:val="multilevel"/>
    <w:tmpl w:val="350B1E1A"/>
    <w:lvl w:ilvl="0">
      <w:start w:val="1"/>
      <w:numFmt w:val="decimal"/>
      <w:lvlText w:val="%1)"/>
      <w:lvlJc w:val="left"/>
      <w:pPr>
        <w:ind w:left="1140" w:hanging="420"/>
      </w:p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6F803DFF"/>
    <w:multiLevelType w:val="multilevel"/>
    <w:tmpl w:val="6F803DFF"/>
    <w:lvl w:ilvl="0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A57129A"/>
    <w:rsid w:val="00CF4FCA"/>
    <w:rsid w:val="00F0335C"/>
    <w:rsid w:val="3A57129A"/>
    <w:rsid w:val="74A0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2F0770"/>
  <w15:docId w15:val="{65D76A0F-66AC-4357-942F-594848321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4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footer"/>
    <w:basedOn w:val="a"/>
    <w:link w:val="a7"/>
    <w:rsid w:val="00F033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0335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407</Words>
  <Characters>431</Characters>
  <Application>Microsoft Office Word</Application>
  <DocSecurity>0</DocSecurity>
  <Lines>53</Lines>
  <Paragraphs>33</Paragraphs>
  <ScaleCrop>false</ScaleCrop>
  <Manager>海天网络VX9517534</Manager>
  <Company>海天网络VX9517534</Company>
  <LinksUpToDate>false</LinksUpToDate>
  <CharactersWithSpaces>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2023-04-13T07:04:00Z</dcterms:created>
  <dcterms:modified xsi:type="dcterms:W3CDTF">2023-04-14T08:48:00Z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F35B2D697A0148119EADE860FE9054B0_11</vt:lpwstr>
  </property>
</Properties>
</file>