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07A8" w14:textId="77777777" w:rsidR="00A36780" w:rsidRDefault="00E56E63">
      <w:pPr>
        <w:pStyle w:val="Heading11"/>
        <w:keepNext/>
        <w:keepLines/>
        <w:widowControl/>
        <w:spacing w:after="0" w:line="594" w:lineRule="exact"/>
        <w:rPr>
          <w:rFonts w:ascii="方正小标宋简体" w:eastAsia="方正小标宋简体" w:hAnsi="方正小标宋简体" w:cs="方正小标宋简体"/>
          <w:color w:val="FF0000"/>
          <w:sz w:val="44"/>
          <w:szCs w:val="44"/>
          <w:lang w:val="en-US" w:eastAsia="zh-CN"/>
        </w:rPr>
      </w:pPr>
      <w:bookmarkStart w:id="0" w:name="bookmark30"/>
      <w:bookmarkStart w:id="1" w:name="bookmark32"/>
      <w:bookmarkStart w:id="2" w:name="bookmark31"/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en-US" w:eastAsia="zh-CN"/>
        </w:rPr>
        <w:t xml:space="preserve">  </w:t>
      </w:r>
      <w:bookmarkEnd w:id="0"/>
      <w:bookmarkEnd w:id="1"/>
      <w:bookmarkEnd w:id="2"/>
      <w:r>
        <w:rPr>
          <w:rStyle w:val="10"/>
          <w:rFonts w:hint="eastAsia"/>
          <w:lang w:val="en-US" w:eastAsia="zh-CN"/>
        </w:rPr>
        <w:t>锅炉安全</w:t>
      </w:r>
      <w:r>
        <w:rPr>
          <w:rStyle w:val="10"/>
          <w:rFonts w:hint="eastAsia"/>
          <w:lang w:eastAsia="zh-CN"/>
        </w:rPr>
        <w:t>风险防控清单</w:t>
      </w:r>
    </w:p>
    <w:tbl>
      <w:tblPr>
        <w:tblStyle w:val="a3"/>
        <w:tblpPr w:leftFromText="180" w:rightFromText="180" w:vertAnchor="text" w:horzAnchor="page" w:tblpX="761" w:tblpY="364"/>
        <w:tblOverlap w:val="never"/>
        <w:tblW w:w="14484" w:type="dxa"/>
        <w:tblLayout w:type="fixed"/>
        <w:tblLook w:val="04A0" w:firstRow="1" w:lastRow="0" w:firstColumn="1" w:lastColumn="0" w:noHBand="0" w:noVBand="1"/>
      </w:tblPr>
      <w:tblGrid>
        <w:gridCol w:w="583"/>
        <w:gridCol w:w="1179"/>
        <w:gridCol w:w="3021"/>
        <w:gridCol w:w="3833"/>
        <w:gridCol w:w="5052"/>
        <w:gridCol w:w="816"/>
      </w:tblGrid>
      <w:tr w:rsidR="00A36780" w14:paraId="2EA665A3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03367301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 w14:paraId="5AE69EF7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 w14:paraId="5C6D4D03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 w14:paraId="6830506B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 w14:paraId="2089FB08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 w14:paraId="6870136F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:rsidR="00A36780" w14:paraId="02387030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4095EFA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5318113E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/>
            <w:vAlign w:val="center"/>
          </w:tcPr>
          <w:p w14:paraId="5D5A521C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/>
            <w:vAlign w:val="center"/>
          </w:tcPr>
          <w:p w14:paraId="6D0CED2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/>
            <w:vAlign w:val="center"/>
          </w:tcPr>
          <w:p w14:paraId="23F33AC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/>
            <w:vAlign w:val="center"/>
          </w:tcPr>
          <w:p w14:paraId="45239C85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6DC3AB8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4A349B0F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 w14:paraId="5F2D5C13" w14:textId="77777777" w:rsidR="00A36780" w:rsidRDefault="00E56E6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落实安全</w:t>
            </w:r>
          </w:p>
          <w:p w14:paraId="6A323CA3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管理制度</w:t>
            </w:r>
          </w:p>
        </w:tc>
        <w:tc>
          <w:tcPr>
            <w:tcW w:w="3021" w:type="dxa"/>
            <w:vAlign w:val="center"/>
          </w:tcPr>
          <w:p w14:paraId="244D1D1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．岗位安全责任制、设备运行及检修、交接班、应急预案及现场处置方案等规章制度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健全</w:t>
            </w:r>
          </w:p>
        </w:tc>
        <w:tc>
          <w:tcPr>
            <w:tcW w:w="3833" w:type="dxa"/>
            <w:vAlign w:val="center"/>
          </w:tcPr>
          <w:p w14:paraId="3D62006E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．岗位安全责任制、设备运行及检修、交接班、应急预案及现场处置方案等规章制度健全</w:t>
            </w:r>
          </w:p>
        </w:tc>
        <w:tc>
          <w:tcPr>
            <w:tcW w:w="5052" w:type="dxa"/>
            <w:vAlign w:val="center"/>
          </w:tcPr>
          <w:p w14:paraId="73B74636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90D860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31A85E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79C5A62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2E84AD3E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2F6F37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组织开展安全知识、技能培训并组织应急预案的演练</w:t>
            </w:r>
          </w:p>
        </w:tc>
        <w:tc>
          <w:tcPr>
            <w:tcW w:w="3833" w:type="dxa"/>
            <w:vAlign w:val="center"/>
          </w:tcPr>
          <w:p w14:paraId="46E73B87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．组织开展安全知识、技能培训并组织应急预案的演练</w:t>
            </w:r>
          </w:p>
        </w:tc>
        <w:tc>
          <w:tcPr>
            <w:tcW w:w="5052" w:type="dxa"/>
            <w:vAlign w:val="center"/>
          </w:tcPr>
          <w:p w14:paraId="2FE38A54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73E7BA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1F317249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6B90507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1A6B41F1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FCD7F43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．管理和操作人员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经过岗前专业知识和安全技术培训教育，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经考试合格后持证上岗</w:t>
            </w:r>
          </w:p>
        </w:tc>
        <w:tc>
          <w:tcPr>
            <w:tcW w:w="3833" w:type="dxa"/>
            <w:vAlign w:val="center"/>
          </w:tcPr>
          <w:p w14:paraId="2997F67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．运行管理和操作人员经过岗前专业知识和安全技术培训教育，并经考试合格后持证上岗</w:t>
            </w:r>
          </w:p>
        </w:tc>
        <w:tc>
          <w:tcPr>
            <w:tcW w:w="5052" w:type="dxa"/>
            <w:vAlign w:val="center"/>
          </w:tcPr>
          <w:p w14:paraId="45D73E39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定期检查、考核</w:t>
            </w:r>
          </w:p>
        </w:tc>
        <w:tc>
          <w:tcPr>
            <w:tcW w:w="816" w:type="dxa"/>
            <w:vAlign w:val="center"/>
          </w:tcPr>
          <w:p w14:paraId="6D7AE85F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3EA1AE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46FA120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292FA54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B9A232F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．设备运行操作人员配备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满足规定要求，劳动保护用品佩戴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齐备</w:t>
            </w:r>
          </w:p>
        </w:tc>
        <w:tc>
          <w:tcPr>
            <w:tcW w:w="3833" w:type="dxa"/>
            <w:vAlign w:val="center"/>
          </w:tcPr>
          <w:p w14:paraId="4344A488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．设备运行操作人员配备满足规定要求，劳动保护用品佩戴齐备</w:t>
            </w:r>
          </w:p>
        </w:tc>
        <w:tc>
          <w:tcPr>
            <w:tcW w:w="5052" w:type="dxa"/>
            <w:vAlign w:val="center"/>
          </w:tcPr>
          <w:p w14:paraId="3B68D9D0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078C35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5864A7BF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7717AC6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23E793C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1BDD016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．司炉工、水质化验员等特种作业人员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持有《特种作业人员操作证》</w:t>
            </w:r>
          </w:p>
        </w:tc>
        <w:tc>
          <w:tcPr>
            <w:tcW w:w="3833" w:type="dxa"/>
            <w:vAlign w:val="center"/>
          </w:tcPr>
          <w:p w14:paraId="39E494F0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．司炉工、水质化验员等特种作业人员持有《特种作业人员操作证》</w:t>
            </w:r>
          </w:p>
        </w:tc>
        <w:tc>
          <w:tcPr>
            <w:tcW w:w="5052" w:type="dxa"/>
            <w:vAlign w:val="center"/>
          </w:tcPr>
          <w:p w14:paraId="113296D4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CD0FC1C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B13CCA7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884219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7009FB44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9F9563D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．设备运行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实行机长负责制；每班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做好设备运行、维护保养及记录</w:t>
            </w:r>
          </w:p>
        </w:tc>
        <w:tc>
          <w:tcPr>
            <w:tcW w:w="3833" w:type="dxa"/>
            <w:vAlign w:val="center"/>
          </w:tcPr>
          <w:p w14:paraId="7D6E49C8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．设备运行实行机长负责制；每班做好设备运行、维护保养及记录</w:t>
            </w:r>
          </w:p>
        </w:tc>
        <w:tc>
          <w:tcPr>
            <w:tcW w:w="5052" w:type="dxa"/>
            <w:vAlign w:val="center"/>
          </w:tcPr>
          <w:p w14:paraId="0B1185E1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A49C4E8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680B9A95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019EEA6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48923832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2C82AF68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6"/>
              </w:rPr>
              <w:t>每班</w:t>
            </w:r>
            <w:r>
              <w:rPr>
                <w:rFonts w:ascii="宋体" w:hAnsi="宋体" w:hint="eastAsia"/>
                <w:spacing w:val="-6"/>
              </w:rPr>
              <w:t>未</w:t>
            </w:r>
            <w:r>
              <w:rPr>
                <w:rFonts w:ascii="宋体" w:hAnsi="宋体" w:hint="eastAsia"/>
                <w:spacing w:val="-6"/>
              </w:rPr>
              <w:t>召开班前会，</w:t>
            </w:r>
            <w:r>
              <w:rPr>
                <w:rFonts w:ascii="宋体" w:hAnsi="宋体" w:hint="eastAsia"/>
                <w:spacing w:val="-6"/>
              </w:rPr>
              <w:t>未</w:t>
            </w:r>
            <w:r>
              <w:rPr>
                <w:rFonts w:ascii="宋体" w:hAnsi="宋体" w:hint="eastAsia"/>
                <w:spacing w:val="-6"/>
              </w:rPr>
              <w:t>开展危险预知活动，</w:t>
            </w:r>
            <w:r>
              <w:rPr>
                <w:rFonts w:ascii="宋体" w:hAnsi="宋体" w:hint="eastAsia"/>
                <w:spacing w:val="-6"/>
              </w:rPr>
              <w:t>未</w:t>
            </w:r>
            <w:r>
              <w:rPr>
                <w:rFonts w:ascii="宋体" w:hAnsi="宋体" w:hint="eastAsia"/>
                <w:spacing w:val="-6"/>
              </w:rPr>
              <w:t>有活动记录</w:t>
            </w:r>
          </w:p>
        </w:tc>
        <w:tc>
          <w:tcPr>
            <w:tcW w:w="3833" w:type="dxa"/>
            <w:vAlign w:val="center"/>
          </w:tcPr>
          <w:p w14:paraId="2C8FF48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6"/>
              </w:rPr>
              <w:t>每班召开班前会，开展危险预知活动，并有活动记录</w:t>
            </w:r>
          </w:p>
        </w:tc>
        <w:tc>
          <w:tcPr>
            <w:tcW w:w="5052" w:type="dxa"/>
            <w:vAlign w:val="center"/>
          </w:tcPr>
          <w:p w14:paraId="29A4F7C0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8C13B45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3E3EDE6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036422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5C9403CB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5625CBC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6"/>
              </w:rPr>
              <w:t>未</w:t>
            </w:r>
            <w:r>
              <w:rPr>
                <w:rFonts w:ascii="宋体" w:hAnsi="宋体" w:hint="eastAsia"/>
              </w:rPr>
              <w:t>按照规定要求认真执行岗位交接班制度，</w:t>
            </w:r>
            <w:r>
              <w:rPr>
                <w:rFonts w:ascii="宋体" w:hAnsi="宋体" w:hint="eastAsia"/>
                <w:spacing w:val="-6"/>
              </w:rPr>
              <w:t>未</w:t>
            </w:r>
            <w:r>
              <w:rPr>
                <w:rFonts w:ascii="宋体" w:hAnsi="宋体" w:hint="eastAsia"/>
              </w:rPr>
              <w:t>有交接班记录和签字</w:t>
            </w:r>
          </w:p>
        </w:tc>
        <w:tc>
          <w:tcPr>
            <w:tcW w:w="3833" w:type="dxa"/>
            <w:vAlign w:val="center"/>
          </w:tcPr>
          <w:p w14:paraId="198C77E8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．按照规定要求认真执行岗位交接班制度，并有交接班记录和签字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 w14:paraId="3CE0D06E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17A8DAF0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A15838F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A2A59B0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5BF7333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7CB3698E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9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按时对设备进行日常、周、月检查及定期检验</w:t>
            </w:r>
          </w:p>
        </w:tc>
        <w:tc>
          <w:tcPr>
            <w:tcW w:w="3833" w:type="dxa"/>
            <w:vAlign w:val="center"/>
          </w:tcPr>
          <w:p w14:paraId="09E55A5C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9</w:t>
            </w:r>
            <w:r>
              <w:rPr>
                <w:rFonts w:ascii="宋体" w:hAnsi="宋体" w:hint="eastAsia"/>
              </w:rPr>
              <w:t>．按时对设备进行日常、周、月检查及定期检验</w:t>
            </w:r>
          </w:p>
        </w:tc>
        <w:tc>
          <w:tcPr>
            <w:tcW w:w="5052" w:type="dxa"/>
            <w:vAlign w:val="center"/>
          </w:tcPr>
          <w:p w14:paraId="3EC832F2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2157383F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874ECA8" w14:textId="77777777">
        <w:trPr>
          <w:trHeight w:val="397"/>
          <w:tblHeader/>
        </w:trPr>
        <w:tc>
          <w:tcPr>
            <w:tcW w:w="583" w:type="dxa"/>
            <w:vAlign w:val="center"/>
          </w:tcPr>
          <w:p w14:paraId="1664C10B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9" w:type="dxa"/>
            <w:vAlign w:val="center"/>
          </w:tcPr>
          <w:p w14:paraId="324E9066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证书</w:t>
            </w:r>
          </w:p>
        </w:tc>
        <w:tc>
          <w:tcPr>
            <w:tcW w:w="3021" w:type="dxa"/>
            <w:vAlign w:val="center"/>
          </w:tcPr>
          <w:p w14:paraId="0B0664E3" w14:textId="77777777" w:rsidR="00A36780" w:rsidRDefault="00E56E63">
            <w:pPr>
              <w:spacing w:line="24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锅炉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有质量合格证、使用许可证、年检合格证、强度计算书、安装使用说明书</w:t>
            </w:r>
          </w:p>
        </w:tc>
        <w:tc>
          <w:tcPr>
            <w:tcW w:w="3833" w:type="dxa"/>
            <w:vAlign w:val="center"/>
          </w:tcPr>
          <w:p w14:paraId="0F59050D" w14:textId="77777777" w:rsidR="00A36780" w:rsidRDefault="00E56E63">
            <w:pPr>
              <w:spacing w:line="240" w:lineRule="exact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锅炉有质量合格证、使用许可证、年检合格证、强度计算书、安装使用说明书</w:t>
            </w:r>
          </w:p>
        </w:tc>
        <w:tc>
          <w:tcPr>
            <w:tcW w:w="5052" w:type="dxa"/>
            <w:vAlign w:val="center"/>
          </w:tcPr>
          <w:p w14:paraId="65237A1E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1D10CC28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622F71E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28A79F82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79" w:type="dxa"/>
            <w:vMerge w:val="restart"/>
            <w:vAlign w:val="center"/>
          </w:tcPr>
          <w:p w14:paraId="419EF3BA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安全阀</w:t>
            </w:r>
          </w:p>
        </w:tc>
        <w:tc>
          <w:tcPr>
            <w:tcW w:w="3021" w:type="dxa"/>
            <w:vAlign w:val="center"/>
          </w:tcPr>
          <w:p w14:paraId="09F8F493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．每台锅炉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至少装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个安全阀（不包括省煤器安全阀），铅直安装并安装在锅炉的最高位置，保证排气畅通，并引至安全地点</w:t>
            </w:r>
          </w:p>
        </w:tc>
        <w:tc>
          <w:tcPr>
            <w:tcW w:w="3833" w:type="dxa"/>
            <w:vAlign w:val="center"/>
          </w:tcPr>
          <w:p w14:paraId="2ECB6240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．每台锅炉至少装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个安全阀（不包括省煤器安全阀），铅直安装并安装在锅炉的最高位置，保证排气畅通，并引至安全地点</w:t>
            </w:r>
          </w:p>
        </w:tc>
        <w:tc>
          <w:tcPr>
            <w:tcW w:w="5052" w:type="dxa"/>
            <w:vAlign w:val="center"/>
          </w:tcPr>
          <w:p w14:paraId="4B850997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9CDC59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9BB6D7A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366F26FF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137CA18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450E32B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．安全阀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每年至少检验一次，铅封完好</w:t>
            </w:r>
          </w:p>
        </w:tc>
        <w:tc>
          <w:tcPr>
            <w:tcW w:w="3833" w:type="dxa"/>
            <w:vAlign w:val="center"/>
          </w:tcPr>
          <w:p w14:paraId="1E27CA68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．安全阀每年至少检验一次，铅封完好</w:t>
            </w:r>
          </w:p>
        </w:tc>
        <w:tc>
          <w:tcPr>
            <w:tcW w:w="5052" w:type="dxa"/>
            <w:vAlign w:val="center"/>
          </w:tcPr>
          <w:p w14:paraId="778CACD4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6ACF31EE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9FF56F7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663981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5CEA218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632D303C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．安全阀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完好，灵敏、可靠</w:t>
            </w:r>
          </w:p>
        </w:tc>
        <w:tc>
          <w:tcPr>
            <w:tcW w:w="3833" w:type="dxa"/>
            <w:vAlign w:val="center"/>
          </w:tcPr>
          <w:p w14:paraId="57A04C81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．安全阀完好，灵敏、可靠</w:t>
            </w:r>
          </w:p>
        </w:tc>
        <w:tc>
          <w:tcPr>
            <w:tcW w:w="5052" w:type="dxa"/>
            <w:vAlign w:val="center"/>
          </w:tcPr>
          <w:p w14:paraId="3BA3E17B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190E05C0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331FF17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63B80EC1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 w14:paraId="271AF7D4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水位表</w:t>
            </w:r>
          </w:p>
        </w:tc>
        <w:tc>
          <w:tcPr>
            <w:tcW w:w="3021" w:type="dxa"/>
            <w:vAlign w:val="center"/>
          </w:tcPr>
          <w:p w14:paraId="50A24134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．每台锅炉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至少装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个水位表，并全部装在便于观察的地方</w:t>
            </w:r>
          </w:p>
        </w:tc>
        <w:tc>
          <w:tcPr>
            <w:tcW w:w="3833" w:type="dxa"/>
            <w:vAlign w:val="center"/>
          </w:tcPr>
          <w:p w14:paraId="7BAC42C6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．每台锅炉至少装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个水位表，并全部装在便于观察的地方</w:t>
            </w:r>
          </w:p>
        </w:tc>
        <w:tc>
          <w:tcPr>
            <w:tcW w:w="5052" w:type="dxa"/>
            <w:vAlign w:val="center"/>
          </w:tcPr>
          <w:p w14:paraId="1A8AB2CC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5FA022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9EBEDFE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6013FC88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79CBCBE3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A59C58B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．水位表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有指示最高、最低安全水位和正常水位的明显标示（红杠），水位表的下部可见边缘比最低安全水位至少低</w:t>
            </w:r>
            <w:r>
              <w:rPr>
                <w:rFonts w:ascii="宋体" w:hAnsi="宋体" w:hint="eastAsia"/>
              </w:rPr>
              <w:t>25mm</w:t>
            </w:r>
            <w:r>
              <w:rPr>
                <w:rFonts w:ascii="宋体" w:hAnsi="宋体" w:hint="eastAsia"/>
              </w:rPr>
              <w:t>，上部可见边缘比最高安全水位至少高</w:t>
            </w:r>
            <w:r>
              <w:rPr>
                <w:rFonts w:ascii="宋体" w:hAnsi="宋体" w:hint="eastAsia"/>
              </w:rPr>
              <w:t>25mm</w:t>
            </w:r>
            <w:r>
              <w:rPr>
                <w:rFonts w:ascii="宋体" w:hAnsi="宋体" w:hint="eastAsia"/>
              </w:rPr>
              <w:t>，正常水位在水位表中间</w:t>
            </w:r>
          </w:p>
        </w:tc>
        <w:tc>
          <w:tcPr>
            <w:tcW w:w="3833" w:type="dxa"/>
            <w:vAlign w:val="center"/>
          </w:tcPr>
          <w:p w14:paraId="00FC2590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．水位表有指示最高、最低安全水位和正常水位的明显标示（红杠），水位表的下部可见边缘比最低安全水位至少低</w:t>
            </w:r>
            <w:r>
              <w:rPr>
                <w:rFonts w:ascii="宋体" w:hAnsi="宋体" w:hint="eastAsia"/>
              </w:rPr>
              <w:t>25mm</w:t>
            </w:r>
            <w:r>
              <w:rPr>
                <w:rFonts w:ascii="宋体" w:hAnsi="宋体" w:hint="eastAsia"/>
              </w:rPr>
              <w:t>，上部可见边缘比最高安全水位至少高</w:t>
            </w:r>
            <w:r>
              <w:rPr>
                <w:rFonts w:ascii="宋体" w:hAnsi="宋体" w:hint="eastAsia"/>
              </w:rPr>
              <w:t>25mm</w:t>
            </w:r>
            <w:r>
              <w:rPr>
                <w:rFonts w:ascii="宋体" w:hAnsi="宋体" w:hint="eastAsia"/>
              </w:rPr>
              <w:t>，正常水位在水位表中间</w:t>
            </w:r>
          </w:p>
        </w:tc>
        <w:tc>
          <w:tcPr>
            <w:tcW w:w="5052" w:type="dxa"/>
            <w:vAlign w:val="center"/>
          </w:tcPr>
          <w:p w14:paraId="6439C466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17307B0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8A6A63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B160330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6852115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C52D18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．水位表与锅筒之间的汽水连接管上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装有阀门，锅炉运行进阀门必须处于全开位置</w:t>
            </w:r>
          </w:p>
        </w:tc>
        <w:tc>
          <w:tcPr>
            <w:tcW w:w="3833" w:type="dxa"/>
            <w:vAlign w:val="center"/>
          </w:tcPr>
          <w:p w14:paraId="503D435E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．水位表与锅筒之间的汽水连接管上装有阀门，锅炉运行进阀门必须处于全开位置</w:t>
            </w:r>
          </w:p>
        </w:tc>
        <w:tc>
          <w:tcPr>
            <w:tcW w:w="5052" w:type="dxa"/>
            <w:vAlign w:val="center"/>
          </w:tcPr>
          <w:p w14:paraId="594E5BBE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2E2265C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856B8CE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C440EB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49F5178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A94BE2E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．水位表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灵敏、可靠，每班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至少冲洗一次水位表，不得形成假象</w:t>
            </w:r>
          </w:p>
        </w:tc>
        <w:tc>
          <w:tcPr>
            <w:tcW w:w="3833" w:type="dxa"/>
            <w:vAlign w:val="center"/>
          </w:tcPr>
          <w:p w14:paraId="1750DBA1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．水位表灵敏、可靠，每班至少冲洗一次水位表，不得形成假象</w:t>
            </w:r>
          </w:p>
        </w:tc>
        <w:tc>
          <w:tcPr>
            <w:tcW w:w="5052" w:type="dxa"/>
            <w:vAlign w:val="center"/>
          </w:tcPr>
          <w:p w14:paraId="14067F11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8455EE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083B188C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31FC9E7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4357F6CC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20A3D976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．玻璃管式水位计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有防护装置（如防护罩、快关阀等），影响正常观察水位</w:t>
            </w:r>
          </w:p>
        </w:tc>
        <w:tc>
          <w:tcPr>
            <w:tcW w:w="3833" w:type="dxa"/>
            <w:vAlign w:val="center"/>
          </w:tcPr>
          <w:p w14:paraId="48DA462E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．玻璃管式水位计应有防护装置（如防护罩、快关阀等），但不得影响正常观察水位</w:t>
            </w:r>
          </w:p>
        </w:tc>
        <w:tc>
          <w:tcPr>
            <w:tcW w:w="5052" w:type="dxa"/>
            <w:vAlign w:val="center"/>
          </w:tcPr>
          <w:p w14:paraId="78C32308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7123DF5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0141A6D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5E29588C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79" w:type="dxa"/>
            <w:vMerge w:val="restart"/>
            <w:vAlign w:val="center"/>
          </w:tcPr>
          <w:p w14:paraId="7336DAB5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压力表</w:t>
            </w:r>
          </w:p>
        </w:tc>
        <w:tc>
          <w:tcPr>
            <w:tcW w:w="3021" w:type="dxa"/>
            <w:vAlign w:val="center"/>
          </w:tcPr>
          <w:p w14:paraId="1A714885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．压力表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设在便于观察和吹洗的位置</w:t>
            </w:r>
          </w:p>
        </w:tc>
        <w:tc>
          <w:tcPr>
            <w:tcW w:w="3833" w:type="dxa"/>
            <w:vAlign w:val="center"/>
          </w:tcPr>
          <w:p w14:paraId="06F7C60D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．压力表设在便于观察和吹洗的位置</w:t>
            </w:r>
          </w:p>
        </w:tc>
        <w:tc>
          <w:tcPr>
            <w:tcW w:w="5052" w:type="dxa"/>
            <w:vAlign w:val="center"/>
          </w:tcPr>
          <w:p w14:paraId="6A7588E2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A112DB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2515DC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5E46A9F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57F3C89D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E64255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．压力表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有防止受到高温、冰冻和震动影响的措施</w:t>
            </w:r>
          </w:p>
        </w:tc>
        <w:tc>
          <w:tcPr>
            <w:tcW w:w="3833" w:type="dxa"/>
            <w:vAlign w:val="center"/>
          </w:tcPr>
          <w:p w14:paraId="22F999E8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．压力表有防止受到高温、冰冻和震动影响的措施</w:t>
            </w:r>
          </w:p>
        </w:tc>
        <w:tc>
          <w:tcPr>
            <w:tcW w:w="5052" w:type="dxa"/>
            <w:vAlign w:val="center"/>
          </w:tcPr>
          <w:p w14:paraId="5C921333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6AF7750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EC26B22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7687FCE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59FE00AF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06D209B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．压力表的刻度限值应为工作压力的</w:t>
            </w:r>
            <w:r>
              <w:rPr>
                <w:rFonts w:ascii="宋体" w:hAnsi="宋体" w:hint="eastAsia"/>
              </w:rPr>
              <w:t>1.5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倍，刻度盘上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划出红线指示的最大工作压力</w:t>
            </w:r>
          </w:p>
        </w:tc>
        <w:tc>
          <w:tcPr>
            <w:tcW w:w="3833" w:type="dxa"/>
            <w:vAlign w:val="center"/>
          </w:tcPr>
          <w:p w14:paraId="7588846A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．压力表的刻度限值应为工作压力的</w:t>
            </w:r>
            <w:r>
              <w:rPr>
                <w:rFonts w:ascii="宋体" w:hAnsi="宋体" w:hint="eastAsia"/>
              </w:rPr>
              <w:t>1.5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倍，刻度盘上应划出红线指示的最大工作压力</w:t>
            </w:r>
          </w:p>
        </w:tc>
        <w:tc>
          <w:tcPr>
            <w:tcW w:w="5052" w:type="dxa"/>
            <w:vAlign w:val="center"/>
          </w:tcPr>
          <w:p w14:paraId="114CD9DD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C4E9BF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1972984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0394E2B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1CAB84A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90CA3A2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．表盘直径小于</w:t>
            </w:r>
            <w:r>
              <w:rPr>
                <w:rFonts w:ascii="宋体" w:hAnsi="宋体" w:hint="eastAsia"/>
              </w:rPr>
              <w:t>100mm</w:t>
            </w:r>
          </w:p>
        </w:tc>
        <w:tc>
          <w:tcPr>
            <w:tcW w:w="3833" w:type="dxa"/>
            <w:vAlign w:val="center"/>
          </w:tcPr>
          <w:p w14:paraId="54EE52E6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．表盘直径不应小于</w:t>
            </w:r>
            <w:r>
              <w:rPr>
                <w:rFonts w:ascii="宋体" w:hAnsi="宋体" w:hint="eastAsia"/>
              </w:rPr>
              <w:t>100mm</w:t>
            </w:r>
          </w:p>
        </w:tc>
        <w:tc>
          <w:tcPr>
            <w:tcW w:w="5052" w:type="dxa"/>
            <w:vAlign w:val="center"/>
          </w:tcPr>
          <w:p w14:paraId="55EF1240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F9C1324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B7A3AFE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0F2073D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B08AC23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6C09AEC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</w:rPr>
              <w:t>压力表精度低于规定要求</w:t>
            </w:r>
          </w:p>
        </w:tc>
        <w:tc>
          <w:tcPr>
            <w:tcW w:w="3833" w:type="dxa"/>
            <w:vAlign w:val="center"/>
          </w:tcPr>
          <w:p w14:paraId="66043243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．最高工作压力小于</w:t>
            </w:r>
            <w:r>
              <w:rPr>
                <w:rFonts w:ascii="宋体" w:hAnsi="宋体" w:hint="eastAsia"/>
              </w:rPr>
              <w:t>2.5Mpa</w:t>
            </w:r>
            <w:r>
              <w:rPr>
                <w:rFonts w:ascii="宋体" w:hAnsi="宋体" w:hint="eastAsia"/>
              </w:rPr>
              <w:t>的锅炉，压力表精度不低于</w:t>
            </w:r>
            <w:r>
              <w:rPr>
                <w:rFonts w:ascii="宋体" w:hAnsi="宋体" w:hint="eastAsia"/>
              </w:rPr>
              <w:t>2.5</w:t>
            </w:r>
            <w:r>
              <w:rPr>
                <w:rFonts w:ascii="宋体" w:hAnsi="宋体" w:hint="eastAsia"/>
              </w:rPr>
              <w:t>级，工作压力大于或等于</w:t>
            </w:r>
            <w:r>
              <w:rPr>
                <w:rFonts w:ascii="宋体" w:hAnsi="宋体" w:hint="eastAsia"/>
              </w:rPr>
              <w:t>2.5Mpa</w:t>
            </w:r>
            <w:r>
              <w:rPr>
                <w:rFonts w:ascii="宋体" w:hAnsi="宋体" w:hint="eastAsia"/>
              </w:rPr>
              <w:t>的锅炉，压力表精度不低于</w:t>
            </w:r>
            <w:r>
              <w:rPr>
                <w:rFonts w:ascii="宋体" w:hAnsi="宋体" w:hint="eastAsia"/>
              </w:rPr>
              <w:t>1.5</w:t>
            </w:r>
            <w:r>
              <w:rPr>
                <w:rFonts w:ascii="宋体" w:hAnsi="宋体" w:hint="eastAsia"/>
              </w:rPr>
              <w:t>级</w:t>
            </w:r>
          </w:p>
        </w:tc>
        <w:tc>
          <w:tcPr>
            <w:tcW w:w="5052" w:type="dxa"/>
            <w:vAlign w:val="center"/>
          </w:tcPr>
          <w:p w14:paraId="4A092F12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D5FB39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F5B35D8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5B35FB8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40FEB73E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6C89986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．压力表的检验和维护应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符合国家计量部门的规定，检验后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铅封</w:t>
            </w:r>
          </w:p>
        </w:tc>
        <w:tc>
          <w:tcPr>
            <w:tcW w:w="3833" w:type="dxa"/>
            <w:vAlign w:val="center"/>
          </w:tcPr>
          <w:p w14:paraId="58B64E8B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．压力表的检验和维护应符合国家计量部门的规定，检验后铅封</w:t>
            </w:r>
          </w:p>
        </w:tc>
        <w:tc>
          <w:tcPr>
            <w:tcW w:w="5052" w:type="dxa"/>
            <w:vAlign w:val="center"/>
          </w:tcPr>
          <w:p w14:paraId="64F0126B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68FF909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657FAC0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592D676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3DE49C48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64C4309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．压力表与筒体之间的连接管上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装有三通阀门，且功能有效，以便吹洗管路、卸换、校验压力表</w:t>
            </w:r>
          </w:p>
        </w:tc>
        <w:tc>
          <w:tcPr>
            <w:tcW w:w="3833" w:type="dxa"/>
            <w:vAlign w:val="center"/>
          </w:tcPr>
          <w:p w14:paraId="36B471AF" w14:textId="77777777" w:rsidR="00A36780" w:rsidRDefault="00E56E63">
            <w:pPr>
              <w:spacing w:line="24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．压力表与筒体之间的连接管上装有三通阀门，且功能有效，以便吹洗管路、卸换、校验压力表</w:t>
            </w:r>
          </w:p>
        </w:tc>
        <w:tc>
          <w:tcPr>
            <w:tcW w:w="5052" w:type="dxa"/>
            <w:vAlign w:val="center"/>
          </w:tcPr>
          <w:p w14:paraId="437A1001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CC4D08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6A26D54D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6DF8114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0BB2D6D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7CA92A1" w14:textId="77777777" w:rsidR="00A36780" w:rsidRDefault="00E56E63">
            <w:pPr>
              <w:numPr>
                <w:ilvl w:val="0"/>
                <w:numId w:val="1"/>
              </w:numPr>
              <w:spacing w:line="240" w:lineRule="exact"/>
              <w:ind w:left="315" w:hangingChars="150" w:hanging="315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蒸汽空间设置的压力表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有存水弯管，三通阀门装在压力表与存水弯管之间</w:t>
            </w:r>
            <w:r>
              <w:rPr>
                <w:rFonts w:ascii="宋体" w:hAnsi="宋体" w:hint="eastAsia"/>
              </w:rPr>
              <w:t>。</w:t>
            </w:r>
          </w:p>
          <w:p w14:paraId="0167F0C6" w14:textId="77777777" w:rsidR="00A36780" w:rsidRDefault="00A36780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0B8C9DF2" w14:textId="77777777" w:rsidR="00A36780" w:rsidRDefault="00A36780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33" w:type="dxa"/>
            <w:vAlign w:val="center"/>
          </w:tcPr>
          <w:p w14:paraId="2C94015E" w14:textId="77777777" w:rsidR="00A36780" w:rsidRDefault="00E56E63">
            <w:pPr>
              <w:numPr>
                <w:ilvl w:val="0"/>
                <w:numId w:val="1"/>
              </w:numPr>
              <w:spacing w:line="240" w:lineRule="exact"/>
              <w:ind w:left="315" w:hangingChars="150" w:hanging="315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蒸汽空间设置的压力表有存水弯管，三通阀门装在压力表与存水弯管之间，且开启灵活</w:t>
            </w:r>
          </w:p>
          <w:p w14:paraId="450537D2" w14:textId="77777777" w:rsidR="00A36780" w:rsidRDefault="00A36780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743B4C1D" w14:textId="77777777" w:rsidR="00A36780" w:rsidRDefault="00A36780">
            <w:pPr>
              <w:spacing w:line="240" w:lineRule="exact"/>
              <w:jc w:val="center"/>
              <w:rPr>
                <w:rFonts w:ascii="宋体" w:eastAsia="Times New Roman" w:hAnsi="宋体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052" w:type="dxa"/>
            <w:vAlign w:val="center"/>
          </w:tcPr>
          <w:p w14:paraId="21E3EE5F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03C737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59EDBF30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6ED1DDD6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79" w:type="dxa"/>
            <w:vMerge w:val="restart"/>
            <w:vAlign w:val="center"/>
          </w:tcPr>
          <w:p w14:paraId="0438460B" w14:textId="77777777" w:rsidR="00A36780" w:rsidRDefault="00E56E6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联锁保护</w:t>
            </w:r>
          </w:p>
          <w:p w14:paraId="7DE3CBAA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装置</w:t>
            </w:r>
          </w:p>
        </w:tc>
        <w:tc>
          <w:tcPr>
            <w:tcW w:w="3021" w:type="dxa"/>
            <w:vAlign w:val="center"/>
          </w:tcPr>
          <w:p w14:paraId="2709376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．锅炉的水位报警装置安装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齐全</w:t>
            </w:r>
          </w:p>
        </w:tc>
        <w:tc>
          <w:tcPr>
            <w:tcW w:w="3833" w:type="dxa"/>
            <w:vAlign w:val="center"/>
          </w:tcPr>
          <w:p w14:paraId="279EA9E8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．锅炉的水位报警装置应安装齐全，灵敏、可靠</w:t>
            </w:r>
          </w:p>
        </w:tc>
        <w:tc>
          <w:tcPr>
            <w:tcW w:w="5052" w:type="dxa"/>
            <w:vAlign w:val="center"/>
          </w:tcPr>
          <w:p w14:paraId="0CE8F410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FE7C7E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0EC39721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0CC8A74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11E83AD7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526148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．锅炉的超压报警装置、超压联锁装置应安装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齐全</w:t>
            </w:r>
          </w:p>
        </w:tc>
        <w:tc>
          <w:tcPr>
            <w:tcW w:w="3833" w:type="dxa"/>
            <w:vAlign w:val="center"/>
          </w:tcPr>
          <w:p w14:paraId="70EDA739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．锅炉的超压报警装置、超压联锁装置应安装齐全，灵敏、可靠</w:t>
            </w:r>
          </w:p>
        </w:tc>
        <w:tc>
          <w:tcPr>
            <w:tcW w:w="5052" w:type="dxa"/>
            <w:vAlign w:val="center"/>
          </w:tcPr>
          <w:p w14:paraId="68353A67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D0E75A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15BC0C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0089873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3714DB44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62C7F78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10"/>
              </w:rPr>
              <w:t>锅炉的电气联锁、仪表联锁、热工保护等装置应安装</w:t>
            </w:r>
            <w:r>
              <w:rPr>
                <w:rFonts w:ascii="宋体" w:hAnsi="宋体" w:hint="eastAsia"/>
                <w:spacing w:val="-10"/>
              </w:rPr>
              <w:t>不</w:t>
            </w:r>
            <w:r>
              <w:rPr>
                <w:rFonts w:ascii="宋体" w:hAnsi="宋体" w:hint="eastAsia"/>
                <w:spacing w:val="-10"/>
              </w:rPr>
              <w:t>齐全</w:t>
            </w:r>
          </w:p>
        </w:tc>
        <w:tc>
          <w:tcPr>
            <w:tcW w:w="3833" w:type="dxa"/>
            <w:vAlign w:val="center"/>
          </w:tcPr>
          <w:p w14:paraId="6422F3A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10"/>
              </w:rPr>
              <w:t>锅炉的电气联锁、仪表联锁、热工保护等装置应安装齐全，灵敏、可靠</w:t>
            </w:r>
          </w:p>
        </w:tc>
        <w:tc>
          <w:tcPr>
            <w:tcW w:w="5052" w:type="dxa"/>
            <w:vAlign w:val="center"/>
          </w:tcPr>
          <w:p w14:paraId="2BE99446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AEA160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C1FFBB6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77FFF2B3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79" w:type="dxa"/>
            <w:vMerge w:val="restart"/>
            <w:vAlign w:val="center"/>
          </w:tcPr>
          <w:p w14:paraId="310EBDC1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给水设备</w:t>
            </w:r>
          </w:p>
        </w:tc>
        <w:tc>
          <w:tcPr>
            <w:tcW w:w="3021" w:type="dxa"/>
            <w:vAlign w:val="center"/>
          </w:tcPr>
          <w:p w14:paraId="1D92715A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．锅炉给水设备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完好</w:t>
            </w:r>
          </w:p>
        </w:tc>
        <w:tc>
          <w:tcPr>
            <w:tcW w:w="3833" w:type="dxa"/>
            <w:vAlign w:val="center"/>
          </w:tcPr>
          <w:p w14:paraId="1613542D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．锅炉给水设备必须完好、可靠</w:t>
            </w:r>
          </w:p>
        </w:tc>
        <w:tc>
          <w:tcPr>
            <w:tcW w:w="5052" w:type="dxa"/>
            <w:vAlign w:val="center"/>
          </w:tcPr>
          <w:p w14:paraId="7E910AF3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1D5E0CD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5E612C0A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320839E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0A22305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672630F5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配有备用泵</w:t>
            </w:r>
          </w:p>
        </w:tc>
        <w:tc>
          <w:tcPr>
            <w:tcW w:w="3833" w:type="dxa"/>
            <w:vAlign w:val="center"/>
          </w:tcPr>
          <w:p w14:paraId="3F312569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．配有备用泵，备用泵必须达到随时可以使用的状态</w:t>
            </w:r>
          </w:p>
        </w:tc>
        <w:tc>
          <w:tcPr>
            <w:tcW w:w="5052" w:type="dxa"/>
            <w:vAlign w:val="center"/>
          </w:tcPr>
          <w:p w14:paraId="5B74FC7E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207555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5C088B2A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50E36222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3E389EC6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D2FE567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．蒸汽锅炉供水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备用电源</w:t>
            </w:r>
          </w:p>
        </w:tc>
        <w:tc>
          <w:tcPr>
            <w:tcW w:w="3833" w:type="dxa"/>
            <w:vAlign w:val="center"/>
          </w:tcPr>
          <w:p w14:paraId="5180613B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．蒸汽锅炉供水备用电源必须随时有电，能接通使用</w:t>
            </w:r>
          </w:p>
        </w:tc>
        <w:tc>
          <w:tcPr>
            <w:tcW w:w="5052" w:type="dxa"/>
            <w:vAlign w:val="center"/>
          </w:tcPr>
          <w:p w14:paraId="451EF2D8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F571D3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5B9216D0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4ECFAF56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79" w:type="dxa"/>
            <w:vMerge w:val="restart"/>
            <w:vAlign w:val="center"/>
          </w:tcPr>
          <w:p w14:paraId="1086515C" w14:textId="77777777" w:rsidR="00A36780" w:rsidRDefault="00E56E6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其他各</w:t>
            </w:r>
          </w:p>
          <w:p w14:paraId="0BEBE51B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部件</w:t>
            </w:r>
          </w:p>
        </w:tc>
        <w:tc>
          <w:tcPr>
            <w:tcW w:w="3021" w:type="dxa"/>
            <w:vAlign w:val="center"/>
          </w:tcPr>
          <w:p w14:paraId="73C0F680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．锅炉炉墙</w:t>
            </w:r>
            <w:r>
              <w:rPr>
                <w:rFonts w:ascii="宋体" w:hAnsi="宋体" w:hint="eastAsia"/>
              </w:rPr>
              <w:t>存在</w:t>
            </w:r>
            <w:r>
              <w:rPr>
                <w:rFonts w:ascii="宋体" w:hAnsi="宋体" w:hint="eastAsia"/>
              </w:rPr>
              <w:t>漏烟、漏风现象</w:t>
            </w:r>
          </w:p>
        </w:tc>
        <w:tc>
          <w:tcPr>
            <w:tcW w:w="3833" w:type="dxa"/>
            <w:vAlign w:val="center"/>
          </w:tcPr>
          <w:p w14:paraId="4CBD8775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．锅炉炉墙无漏烟、漏风现象</w:t>
            </w:r>
          </w:p>
        </w:tc>
        <w:tc>
          <w:tcPr>
            <w:tcW w:w="5052" w:type="dxa"/>
            <w:vAlign w:val="center"/>
          </w:tcPr>
          <w:p w14:paraId="1E027031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E96D5B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65A252C8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0E82060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2D2DF391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6E5BDEB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．负压燃烧炉体松动、腐蚀、变形</w:t>
            </w:r>
          </w:p>
        </w:tc>
        <w:tc>
          <w:tcPr>
            <w:tcW w:w="3833" w:type="dxa"/>
            <w:vAlign w:val="center"/>
          </w:tcPr>
          <w:p w14:paraId="46B3BBB5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．负压燃烧炉体无松动、腐蚀、变形</w:t>
            </w:r>
          </w:p>
        </w:tc>
        <w:tc>
          <w:tcPr>
            <w:tcW w:w="5052" w:type="dxa"/>
            <w:vAlign w:val="center"/>
          </w:tcPr>
          <w:p w14:paraId="7834F8B3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2335E51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CF65A3E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F4EC20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2B76A505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1A56AD1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．烟、风、汽、管道、阀门</w:t>
            </w:r>
            <w:r>
              <w:rPr>
                <w:rFonts w:ascii="宋体" w:hAnsi="宋体" w:hint="eastAsia"/>
              </w:rPr>
              <w:t>存在</w:t>
            </w:r>
            <w:r>
              <w:rPr>
                <w:rFonts w:ascii="宋体" w:hAnsi="宋体" w:hint="eastAsia"/>
              </w:rPr>
              <w:t>泄漏、受热面变形、过热现象</w:t>
            </w:r>
          </w:p>
        </w:tc>
        <w:tc>
          <w:tcPr>
            <w:tcW w:w="3833" w:type="dxa"/>
            <w:vAlign w:val="center"/>
          </w:tcPr>
          <w:p w14:paraId="41FF77AB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．烟、风、汽、管道、阀门无泄漏、受热面无变形、过热现象</w:t>
            </w:r>
          </w:p>
        </w:tc>
        <w:tc>
          <w:tcPr>
            <w:tcW w:w="5052" w:type="dxa"/>
            <w:vAlign w:val="center"/>
          </w:tcPr>
          <w:p w14:paraId="009EA741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6183162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1540766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1F0F40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3CECC51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F813178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．扶梯、走台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符合要求</w:t>
            </w:r>
          </w:p>
        </w:tc>
        <w:tc>
          <w:tcPr>
            <w:tcW w:w="3833" w:type="dxa"/>
            <w:vAlign w:val="center"/>
          </w:tcPr>
          <w:p w14:paraId="6A538D9A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．扶梯、走台符合要求</w:t>
            </w:r>
          </w:p>
        </w:tc>
        <w:tc>
          <w:tcPr>
            <w:tcW w:w="5052" w:type="dxa"/>
            <w:vAlign w:val="center"/>
          </w:tcPr>
          <w:p w14:paraId="226C31F3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2BC50B6C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15459FA9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4FACB3B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2F7831C7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11A6A26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．各种温度压力仪表</w:t>
            </w:r>
            <w:r>
              <w:rPr>
                <w:rFonts w:ascii="宋体" w:hAnsi="宋体" w:hint="eastAsia"/>
              </w:rPr>
              <w:t>不齐全</w:t>
            </w:r>
          </w:p>
        </w:tc>
        <w:tc>
          <w:tcPr>
            <w:tcW w:w="3833" w:type="dxa"/>
            <w:vAlign w:val="center"/>
          </w:tcPr>
          <w:p w14:paraId="5D66F8E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．各种温度压力仪表完好、可靠</w:t>
            </w:r>
          </w:p>
        </w:tc>
        <w:tc>
          <w:tcPr>
            <w:tcW w:w="5052" w:type="dxa"/>
            <w:vAlign w:val="center"/>
          </w:tcPr>
          <w:p w14:paraId="52670870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5BB80B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0E8A9DDB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B0ACC32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58485DAC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6B3E8292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．燃烧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正常，</w:t>
            </w:r>
            <w:r>
              <w:rPr>
                <w:rFonts w:ascii="宋体" w:hAnsi="宋体" w:hint="eastAsia"/>
              </w:rPr>
              <w:t>有</w:t>
            </w:r>
            <w:r>
              <w:rPr>
                <w:rFonts w:ascii="宋体" w:hAnsi="宋体" w:hint="eastAsia"/>
              </w:rPr>
              <w:t>结焦、风眼现象</w:t>
            </w:r>
          </w:p>
        </w:tc>
        <w:tc>
          <w:tcPr>
            <w:tcW w:w="3833" w:type="dxa"/>
            <w:vAlign w:val="center"/>
          </w:tcPr>
          <w:p w14:paraId="58241B3D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．燃烧正常，无结焦、风眼现象</w:t>
            </w:r>
          </w:p>
        </w:tc>
        <w:tc>
          <w:tcPr>
            <w:tcW w:w="5052" w:type="dxa"/>
            <w:vAlign w:val="center"/>
          </w:tcPr>
          <w:p w14:paraId="7C35EB44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B8F966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08BA4EF6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76D68E42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201C608E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7BB0F4AF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．锅炉系统各阀门开启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灵活</w:t>
            </w:r>
          </w:p>
        </w:tc>
        <w:tc>
          <w:tcPr>
            <w:tcW w:w="3833" w:type="dxa"/>
            <w:vAlign w:val="center"/>
          </w:tcPr>
          <w:p w14:paraId="4EA7DA41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．锅炉系统各阀门开启灵活</w:t>
            </w:r>
          </w:p>
        </w:tc>
        <w:tc>
          <w:tcPr>
            <w:tcW w:w="5052" w:type="dxa"/>
            <w:vAlign w:val="center"/>
          </w:tcPr>
          <w:p w14:paraId="186CD30C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21E9284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BEF60A2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6E73E4D1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79" w:type="dxa"/>
            <w:vMerge w:val="restart"/>
            <w:vAlign w:val="center"/>
          </w:tcPr>
          <w:p w14:paraId="6F1E21A1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水质保障</w:t>
            </w:r>
          </w:p>
        </w:tc>
        <w:tc>
          <w:tcPr>
            <w:tcW w:w="3021" w:type="dxa"/>
            <w:vAlign w:val="center"/>
          </w:tcPr>
          <w:p w14:paraId="71FD197E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、锅炉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按规定定期进行水质化验</w:t>
            </w:r>
          </w:p>
        </w:tc>
        <w:tc>
          <w:tcPr>
            <w:tcW w:w="3833" w:type="dxa"/>
            <w:vAlign w:val="center"/>
          </w:tcPr>
          <w:p w14:paraId="15C7E84B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、锅炉应按规定定期进行水质化验</w:t>
            </w:r>
          </w:p>
        </w:tc>
        <w:tc>
          <w:tcPr>
            <w:tcW w:w="5052" w:type="dxa"/>
            <w:vAlign w:val="center"/>
          </w:tcPr>
          <w:p w14:paraId="31273FEB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9CBD677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16128CA6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95AF2AF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511CD028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96A6B4B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  <w:spacing w:val="-10"/>
              </w:rPr>
              <w:t>水质分析化验项目</w:t>
            </w:r>
            <w:r>
              <w:rPr>
                <w:rFonts w:ascii="宋体" w:hAnsi="宋体" w:hint="eastAsia"/>
                <w:spacing w:val="-10"/>
              </w:rPr>
              <w:t>不</w:t>
            </w:r>
            <w:r>
              <w:rPr>
                <w:rFonts w:ascii="宋体" w:hAnsi="宋体" w:hint="eastAsia"/>
                <w:spacing w:val="-10"/>
              </w:rPr>
              <w:t>齐全，</w:t>
            </w:r>
            <w:r>
              <w:rPr>
                <w:rFonts w:ascii="宋体" w:hAnsi="宋体" w:hint="eastAsia"/>
                <w:spacing w:val="-10"/>
              </w:rPr>
              <w:t>未</w:t>
            </w:r>
            <w:r>
              <w:rPr>
                <w:rFonts w:ascii="宋体" w:hAnsi="宋体" w:hint="eastAsia"/>
                <w:spacing w:val="-10"/>
              </w:rPr>
              <w:t>每天进行一次硬度和</w:t>
            </w:r>
            <w:r>
              <w:rPr>
                <w:rFonts w:ascii="宋体" w:hAnsi="宋体" w:hint="eastAsia"/>
                <w:spacing w:val="-10"/>
              </w:rPr>
              <w:t>PH</w:t>
            </w:r>
            <w:r>
              <w:rPr>
                <w:rFonts w:ascii="宋体" w:hAnsi="宋体" w:hint="eastAsia"/>
                <w:spacing w:val="-10"/>
              </w:rPr>
              <w:t>值化验</w:t>
            </w:r>
          </w:p>
        </w:tc>
        <w:tc>
          <w:tcPr>
            <w:tcW w:w="3833" w:type="dxa"/>
            <w:vAlign w:val="center"/>
          </w:tcPr>
          <w:p w14:paraId="62A2F12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  <w:spacing w:val="-10"/>
              </w:rPr>
              <w:t>水质分析化验项目齐全，每天进行一次硬度和</w:t>
            </w:r>
            <w:r>
              <w:rPr>
                <w:rFonts w:ascii="宋体" w:hAnsi="宋体" w:hint="eastAsia"/>
                <w:spacing w:val="-10"/>
              </w:rPr>
              <w:t>PH</w:t>
            </w:r>
            <w:r>
              <w:rPr>
                <w:rFonts w:ascii="宋体" w:hAnsi="宋体" w:hint="eastAsia"/>
                <w:spacing w:val="-10"/>
              </w:rPr>
              <w:t>值化验，保证水质合格</w:t>
            </w:r>
          </w:p>
        </w:tc>
        <w:tc>
          <w:tcPr>
            <w:tcW w:w="5052" w:type="dxa"/>
            <w:vAlign w:val="center"/>
          </w:tcPr>
          <w:p w14:paraId="2009C434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31B8B55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CE70953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60AA8A4E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988AF8D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BC3663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、钠离子交换器、盐泵、给水处理系统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正常投入使用</w:t>
            </w:r>
          </w:p>
        </w:tc>
        <w:tc>
          <w:tcPr>
            <w:tcW w:w="3833" w:type="dxa"/>
            <w:vAlign w:val="center"/>
          </w:tcPr>
          <w:p w14:paraId="72349248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、钠离子交换器、盐泵、给水处理系统必须正常投入使用</w:t>
            </w:r>
          </w:p>
        </w:tc>
        <w:tc>
          <w:tcPr>
            <w:tcW w:w="5052" w:type="dxa"/>
            <w:vAlign w:val="center"/>
          </w:tcPr>
          <w:p w14:paraId="65DCD99A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6494D61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84FDB79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065D997C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79" w:type="dxa"/>
            <w:vMerge w:val="restart"/>
            <w:vAlign w:val="center"/>
          </w:tcPr>
          <w:p w14:paraId="4FD5E5D7" w14:textId="77777777" w:rsidR="00A36780" w:rsidRDefault="00E56E6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安全装置</w:t>
            </w:r>
            <w:r>
              <w:rPr>
                <w:rFonts w:ascii="宋体" w:hAnsi="宋体" w:hint="eastAsia"/>
              </w:rPr>
              <w:t>/</w:t>
            </w:r>
          </w:p>
          <w:p w14:paraId="5BDF40FF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设施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防护</w:t>
            </w:r>
          </w:p>
        </w:tc>
        <w:tc>
          <w:tcPr>
            <w:tcW w:w="3021" w:type="dxa"/>
            <w:vAlign w:val="center"/>
          </w:tcPr>
          <w:p w14:paraId="1ECD52F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、护栏、扶梯、走台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符合要求</w:t>
            </w:r>
          </w:p>
        </w:tc>
        <w:tc>
          <w:tcPr>
            <w:tcW w:w="3833" w:type="dxa"/>
            <w:vAlign w:val="center"/>
          </w:tcPr>
          <w:p w14:paraId="45F405B9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、护栏、扶梯、走台符合要求，稳固牢靠</w:t>
            </w:r>
          </w:p>
        </w:tc>
        <w:tc>
          <w:tcPr>
            <w:tcW w:w="5052" w:type="dxa"/>
            <w:vAlign w:val="center"/>
          </w:tcPr>
          <w:p w14:paraId="3D8C750E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07374AC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CE2E15C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AA3ADD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6451C954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0A597BF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、安全防护装置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齐全</w:t>
            </w:r>
          </w:p>
        </w:tc>
        <w:tc>
          <w:tcPr>
            <w:tcW w:w="3833" w:type="dxa"/>
            <w:vAlign w:val="center"/>
          </w:tcPr>
          <w:p w14:paraId="5BBB5A5E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、安全防护装置齐全、可靠，运转正常</w:t>
            </w:r>
          </w:p>
        </w:tc>
        <w:tc>
          <w:tcPr>
            <w:tcW w:w="5052" w:type="dxa"/>
            <w:vAlign w:val="center"/>
          </w:tcPr>
          <w:p w14:paraId="3D86BC23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74EC6B72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A77E770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6EC647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5D6B4C6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8E1C25C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、地面、门窗、设备及用具</w:t>
            </w:r>
            <w:r>
              <w:rPr>
                <w:rFonts w:ascii="宋体" w:hAnsi="宋体" w:hint="eastAsia"/>
              </w:rPr>
              <w:t>未</w:t>
            </w:r>
            <w:r>
              <w:rPr>
                <w:rFonts w:ascii="宋体" w:hAnsi="宋体" w:hint="eastAsia"/>
              </w:rPr>
              <w:t>做到定时清扫</w:t>
            </w:r>
          </w:p>
        </w:tc>
        <w:tc>
          <w:tcPr>
            <w:tcW w:w="3833" w:type="dxa"/>
            <w:vAlign w:val="center"/>
          </w:tcPr>
          <w:p w14:paraId="27EA0044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、地面、门窗、设备及用具做到定时清扫，整齐清洁</w:t>
            </w:r>
          </w:p>
        </w:tc>
        <w:tc>
          <w:tcPr>
            <w:tcW w:w="5052" w:type="dxa"/>
            <w:vAlign w:val="center"/>
          </w:tcPr>
          <w:p w14:paraId="5718F70F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73CAE9C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72AD1718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74F693A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328BFB1C" w14:textId="77777777" w:rsidR="00A36780" w:rsidRDefault="00A3678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F2D41E8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、锅炉房各处照明，照度</w:t>
            </w:r>
            <w:r>
              <w:rPr>
                <w:rFonts w:ascii="宋体" w:hAnsi="宋体" w:hint="eastAsia"/>
              </w:rPr>
              <w:t>不</w:t>
            </w:r>
            <w:r>
              <w:rPr>
                <w:rFonts w:ascii="宋体" w:hAnsi="宋体" w:hint="eastAsia"/>
              </w:rPr>
              <w:t>符合要求</w:t>
            </w:r>
          </w:p>
        </w:tc>
        <w:tc>
          <w:tcPr>
            <w:tcW w:w="3833" w:type="dxa"/>
            <w:vAlign w:val="center"/>
          </w:tcPr>
          <w:p w14:paraId="464627DD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、锅炉房各处均有照明，照度符合要求</w:t>
            </w:r>
          </w:p>
        </w:tc>
        <w:tc>
          <w:tcPr>
            <w:tcW w:w="5052" w:type="dxa"/>
            <w:vAlign w:val="center"/>
          </w:tcPr>
          <w:p w14:paraId="0C74272C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5F0F8D50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3665CDF0" w14:textId="77777777">
        <w:trPr>
          <w:trHeight w:val="397"/>
          <w:tblHeader/>
        </w:trPr>
        <w:tc>
          <w:tcPr>
            <w:tcW w:w="583" w:type="dxa"/>
            <w:vMerge w:val="restart"/>
            <w:vAlign w:val="center"/>
          </w:tcPr>
          <w:p w14:paraId="755BD62C" w14:textId="77777777" w:rsidR="00A36780" w:rsidRDefault="00E56E63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79" w:type="dxa"/>
            <w:vMerge w:val="restart"/>
            <w:vAlign w:val="center"/>
          </w:tcPr>
          <w:p w14:paraId="5F3449E6" w14:textId="77777777" w:rsidR="00A36780" w:rsidRDefault="00E56E63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监督检查与隐患整改</w:t>
            </w:r>
          </w:p>
        </w:tc>
        <w:tc>
          <w:tcPr>
            <w:tcW w:w="3021" w:type="dxa"/>
            <w:vAlign w:val="center"/>
          </w:tcPr>
          <w:p w14:paraId="7403D664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．运行、检修期间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有安全管理人员全过程进行跟踪监督检查</w:t>
            </w:r>
          </w:p>
        </w:tc>
        <w:tc>
          <w:tcPr>
            <w:tcW w:w="3833" w:type="dxa"/>
            <w:vAlign w:val="center"/>
          </w:tcPr>
          <w:p w14:paraId="5244B25D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．运行、检修期间有安全管理人员全过程进行跟踪监督检查</w:t>
            </w:r>
          </w:p>
        </w:tc>
        <w:tc>
          <w:tcPr>
            <w:tcW w:w="5052" w:type="dxa"/>
            <w:vAlign w:val="center"/>
          </w:tcPr>
          <w:p w14:paraId="307B7353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0B04135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AAB430D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7A9A3CE9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0A1FB6D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7DB67493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．运行单位（班组）</w:t>
            </w:r>
            <w:r>
              <w:rPr>
                <w:rFonts w:ascii="宋体" w:hAnsi="宋体" w:hint="eastAsia"/>
              </w:rPr>
              <w:t>没</w:t>
            </w:r>
            <w:r>
              <w:rPr>
                <w:rFonts w:ascii="宋体" w:hAnsi="宋体" w:hint="eastAsia"/>
              </w:rPr>
              <w:t>有安全隐患自查及整改记录，执行重大隐患报告制度</w:t>
            </w:r>
          </w:p>
        </w:tc>
        <w:tc>
          <w:tcPr>
            <w:tcW w:w="3833" w:type="dxa"/>
            <w:vAlign w:val="center"/>
          </w:tcPr>
          <w:p w14:paraId="5BA3321F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．运行单位（班组）应有安全隐患自查及整改记录，执行重大隐患报告制度</w:t>
            </w:r>
          </w:p>
        </w:tc>
        <w:tc>
          <w:tcPr>
            <w:tcW w:w="5052" w:type="dxa"/>
            <w:vAlign w:val="center"/>
          </w:tcPr>
          <w:p w14:paraId="1EC6BFE2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9BBF4CD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202726E6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273816C0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2DCD931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2910DA2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对隐患整改情况是否进行复查验证，实现闭合管理</w:t>
            </w:r>
          </w:p>
        </w:tc>
        <w:tc>
          <w:tcPr>
            <w:tcW w:w="3833" w:type="dxa"/>
            <w:vAlign w:val="center"/>
          </w:tcPr>
          <w:p w14:paraId="51C4DABD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．对隐患整改情况是否进行复查验证，实现闭合管理</w:t>
            </w:r>
          </w:p>
        </w:tc>
        <w:tc>
          <w:tcPr>
            <w:tcW w:w="5052" w:type="dxa"/>
            <w:vAlign w:val="center"/>
          </w:tcPr>
          <w:p w14:paraId="08086B2A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4603F05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1F7D2F9E" w14:textId="77777777">
        <w:trPr>
          <w:trHeight w:val="397"/>
          <w:tblHeader/>
        </w:trPr>
        <w:tc>
          <w:tcPr>
            <w:tcW w:w="583" w:type="dxa"/>
            <w:vMerge/>
            <w:vAlign w:val="center"/>
          </w:tcPr>
          <w:p w14:paraId="190C065F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/>
            <w:vAlign w:val="center"/>
          </w:tcPr>
          <w:p w14:paraId="7D5D228E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79039CB1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</w:rPr>
              <w:t>没有</w:t>
            </w:r>
            <w:r>
              <w:rPr>
                <w:rFonts w:ascii="宋体" w:hAnsi="宋体" w:hint="eastAsia"/>
              </w:rPr>
              <w:t>组织对锅炉设备运行状况进行安全分析评价，制定针对性的纠正预防措施并付诸实施</w:t>
            </w:r>
          </w:p>
        </w:tc>
        <w:tc>
          <w:tcPr>
            <w:tcW w:w="3833" w:type="dxa"/>
            <w:vAlign w:val="center"/>
          </w:tcPr>
          <w:p w14:paraId="1A9F1CED" w14:textId="77777777" w:rsidR="00A36780" w:rsidRDefault="00E56E63">
            <w:pPr>
              <w:spacing w:line="280" w:lineRule="exact"/>
              <w:ind w:left="315" w:hangingChars="150" w:hanging="315"/>
              <w:jc w:val="center"/>
              <w:rPr>
                <w:rFonts w:ascii="黑体" w:eastAsia="黑体" w:hAnsi="黑体" w:cs="黑体"/>
                <w:sz w:val="24"/>
                <w:szCs w:val="24"/>
                <w:lang w:bidi="en-US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．组织对锅炉设备运行状况进行安全分析评价，制定针对性的纠正预防措施并付诸实施</w:t>
            </w:r>
          </w:p>
        </w:tc>
        <w:tc>
          <w:tcPr>
            <w:tcW w:w="5052" w:type="dxa"/>
            <w:vAlign w:val="center"/>
          </w:tcPr>
          <w:p w14:paraId="652575DB" w14:textId="77777777" w:rsidR="00A36780" w:rsidRDefault="00E56E63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定期检查</w:t>
            </w:r>
          </w:p>
        </w:tc>
        <w:tc>
          <w:tcPr>
            <w:tcW w:w="816" w:type="dxa"/>
            <w:vAlign w:val="center"/>
          </w:tcPr>
          <w:p w14:paraId="69273084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10D58959" w14:textId="77777777">
        <w:trPr>
          <w:trHeight w:val="397"/>
          <w:tblHeader/>
        </w:trPr>
        <w:tc>
          <w:tcPr>
            <w:tcW w:w="583" w:type="dxa"/>
            <w:vAlign w:val="center"/>
          </w:tcPr>
          <w:p w14:paraId="209876F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 w14:paraId="141804BF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787ADD43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 w14:paraId="1C87574B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 w14:paraId="0F2C86C8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 w14:paraId="3A3B526A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 w:rsidR="00A36780" w14:paraId="4E7D8600" w14:textId="77777777">
        <w:trPr>
          <w:trHeight w:val="397"/>
          <w:tblHeader/>
        </w:trPr>
        <w:tc>
          <w:tcPr>
            <w:tcW w:w="583" w:type="dxa"/>
            <w:vAlign w:val="center"/>
          </w:tcPr>
          <w:p w14:paraId="6B02D0D4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 w14:paraId="6612496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6695EB86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 w14:paraId="207952FE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 w14:paraId="69718F8C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 w14:paraId="449CCD51" w14:textId="77777777" w:rsidR="00A36780" w:rsidRDefault="00A36780">
            <w:pPr>
              <w:pStyle w:val="Other1"/>
              <w:spacing w:line="240" w:lineRule="auto"/>
              <w:ind w:firstLine="0"/>
              <w:jc w:val="center"/>
              <w:rPr>
                <w:rFonts w:ascii="黑体" w:eastAsia="黑体" w:hAnsi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408A8538" w14:textId="77777777" w:rsidR="00A36780" w:rsidRDefault="00A36780">
      <w:pPr>
        <w:pStyle w:val="Tablecaption1"/>
        <w:rPr>
          <w:color w:val="auto"/>
          <w:sz w:val="24"/>
          <w:szCs w:val="24"/>
        </w:rPr>
      </w:pPr>
    </w:p>
    <w:p w14:paraId="1D25794E" w14:textId="77777777" w:rsidR="00A36780" w:rsidRDefault="00A36780"/>
    <w:p w14:paraId="41AB7582" w14:textId="77777777" w:rsidR="00A36780" w:rsidRDefault="00E56E63">
      <w:pPr>
        <w:spacing w:line="320" w:lineRule="exact"/>
        <w:rPr>
          <w:rFonts w:ascii="黑体" w:eastAsia="黑体" w:hAnsi="宋体"/>
        </w:rPr>
      </w:pPr>
      <w:r>
        <w:rPr>
          <w:rFonts w:ascii="黑体" w:eastAsia="黑体" w:hAnsi="宋体" w:hint="eastAsia"/>
        </w:rPr>
        <w:t xml:space="preserve">                   </w:t>
      </w:r>
    </w:p>
    <w:p w14:paraId="69C7E3B3" w14:textId="77777777" w:rsidR="00A36780" w:rsidRDefault="00A36780">
      <w:pPr>
        <w:wordWrap w:val="0"/>
        <w:spacing w:line="300" w:lineRule="exact"/>
        <w:ind w:right="525"/>
        <w:rPr>
          <w:rFonts w:ascii="黑体" w:eastAsia="黑体" w:hAnsi="宋体"/>
          <w:b/>
        </w:rPr>
      </w:pPr>
    </w:p>
    <w:sectPr w:rsidR="00A367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A5C05" w14:textId="77777777" w:rsidR="00E56E63" w:rsidRDefault="00E56E63" w:rsidP="00E56E63">
      <w:r>
        <w:separator/>
      </w:r>
    </w:p>
  </w:endnote>
  <w:endnote w:type="continuationSeparator" w:id="0">
    <w:p w14:paraId="5E4B1C52" w14:textId="77777777" w:rsidR="00E56E63" w:rsidRDefault="00E56E63" w:rsidP="00E5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47552" w14:textId="77777777" w:rsidR="00E56E63" w:rsidRDefault="00E56E63" w:rsidP="00E56E63">
      <w:r>
        <w:separator/>
      </w:r>
    </w:p>
  </w:footnote>
  <w:footnote w:type="continuationSeparator" w:id="0">
    <w:p w14:paraId="7C9406BB" w14:textId="77777777" w:rsidR="00E56E63" w:rsidRDefault="00E56E63" w:rsidP="00E56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014251"/>
    <w:multiLevelType w:val="singleLevel"/>
    <w:tmpl w:val="C7014251"/>
    <w:lvl w:ilvl="0">
      <w:start w:val="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A696209"/>
    <w:rsid w:val="00A36780"/>
    <w:rsid w:val="00E56E63"/>
    <w:rsid w:val="1A696209"/>
    <w:rsid w:val="681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3D7DD0"/>
  <w15:docId w15:val="{7FAF09BF-A26E-4607-BD87-88D1366A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#1|1"/>
    <w:basedOn w:val="a"/>
    <w:qFormat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10">
    <w:name w:val="标题 1 字符"/>
    <w:link w:val="1"/>
    <w:rPr>
      <w:b/>
      <w:kern w:val="44"/>
      <w:sz w:val="44"/>
    </w:rPr>
  </w:style>
  <w:style w:type="paragraph" w:customStyle="1" w:styleId="Tablecaption1">
    <w:name w:val="Table caption|1"/>
    <w:basedOn w:val="a"/>
    <w:qFormat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Other1">
    <w:name w:val="Other|1"/>
    <w:basedOn w:val="a"/>
    <w:qFormat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paragraph" w:styleId="a4">
    <w:name w:val="header"/>
    <w:basedOn w:val="a"/>
    <w:link w:val="a5"/>
    <w:rsid w:val="00E56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56E6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E56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56E6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3021</Words>
  <Characters>3063</Characters>
  <Application>Microsoft Office Word</Application>
  <DocSecurity>0</DocSecurity>
  <Lines>467</Lines>
  <Paragraphs>183</Paragraphs>
  <ScaleCrop>false</ScaleCrop>
  <Manager>海天网络VX9517534</Manager>
  <Company>海天网络VX9517534</Company>
  <LinksUpToDate>false</LinksUpToDate>
  <CharactersWithSpaces>3084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2023-04-13T07:02:00Z</dcterms:created>
  <dcterms:modified xsi:type="dcterms:W3CDTF">2023-04-14T08:52:00Z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