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每日电梯检查记录</w:t>
      </w:r>
    </w:p>
    <w:p>
      <w:pPr>
        <w:jc w:val="center"/>
        <w:rPr>
          <w:rFonts w:ascii="方正小标宋简体" w:eastAsia="方正小标宋简体"/>
          <w:sz w:val="44"/>
          <w:szCs w:val="44"/>
        </w:rPr>
      </w:pPr>
    </w:p>
    <w:p>
      <w:pPr>
        <w:rPr>
          <w:rFonts w:ascii="仿宋_GB2312" w:eastAsia="仿宋_GB2312"/>
          <w:sz w:val="32"/>
          <w:szCs w:val="32"/>
        </w:rPr>
      </w:pPr>
      <w:r>
        <w:rPr>
          <w:rFonts w:hint="eastAsia" w:ascii="仿宋_GB2312" w:eastAsia="仿宋_GB2312"/>
          <w:sz w:val="32"/>
          <w:szCs w:val="32"/>
        </w:rPr>
        <w:t xml:space="preserve">使用登记证号：               </w:t>
      </w:r>
      <w:r>
        <w:rPr>
          <w:rFonts w:hint="eastAsia" w:ascii="仿宋_GB2312" w:eastAsia="仿宋_GB2312"/>
          <w:sz w:val="32"/>
          <w:szCs w:val="32"/>
          <w:lang w:val="en-US" w:eastAsia="zh-CN"/>
        </w:rPr>
        <w:t xml:space="preserve">使用位置：               </w:t>
      </w:r>
      <w:r>
        <w:rPr>
          <w:rFonts w:hint="eastAsia" w:ascii="仿宋_GB2312" w:eastAsia="仿宋_GB2312"/>
          <w:sz w:val="32"/>
          <w:szCs w:val="32"/>
        </w:rPr>
        <w:t>检查人员：                   年   月   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4693"/>
        <w:gridCol w:w="5560"/>
        <w:gridCol w:w="1787"/>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序号</w:t>
            </w:r>
          </w:p>
        </w:tc>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检查项目</w:t>
            </w:r>
          </w:p>
        </w:tc>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检查结果</w:t>
            </w:r>
          </w:p>
        </w:tc>
        <w:tc>
          <w:tcPr>
            <w:tcW w:w="0" w:type="auto"/>
            <w:vAlign w:val="center"/>
          </w:tcPr>
          <w:p>
            <w:pPr>
              <w:spacing w:line="400" w:lineRule="exact"/>
              <w:jc w:val="center"/>
              <w:rPr>
                <w:rFonts w:ascii="仿宋_GB2312" w:eastAsia="仿宋_GB2312"/>
                <w:sz w:val="28"/>
                <w:szCs w:val="28"/>
              </w:rPr>
            </w:pPr>
            <w:r>
              <w:rPr>
                <w:rFonts w:hint="eastAsia" w:ascii="仿宋_GB2312" w:hAnsi="仿宋_GB2312" w:eastAsia="仿宋_GB2312" w:cs="仿宋_GB2312"/>
                <w:color w:val="000000"/>
                <w:kern w:val="0"/>
                <w:sz w:val="28"/>
                <w:szCs w:val="28"/>
              </w:rPr>
              <w:t>不符合项说明</w:t>
            </w:r>
          </w:p>
        </w:tc>
        <w:tc>
          <w:tcPr>
            <w:tcW w:w="0" w:type="auto"/>
            <w:vAlign w:val="center"/>
          </w:tcPr>
          <w:p>
            <w:pPr>
              <w:spacing w:line="400" w:lineRule="exact"/>
              <w:jc w:val="center"/>
              <w:rPr>
                <w:rFonts w:ascii="仿宋_GB2312" w:eastAsia="仿宋_GB2312"/>
                <w:sz w:val="28"/>
                <w:szCs w:val="28"/>
              </w:rPr>
            </w:pPr>
            <w:r>
              <w:rPr>
                <w:rFonts w:hint="eastAsia" w:ascii="仿宋_GB2312" w:hAnsi="仿宋_GB2312" w:eastAsia="仿宋_GB2312" w:cs="仿宋_GB2312"/>
                <w:color w:val="000000"/>
                <w:kern w:val="0"/>
                <w:sz w:val="28"/>
                <w:szCs w:val="28"/>
              </w:rPr>
              <w:t>不符合采取的防范措施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1</w:t>
            </w:r>
          </w:p>
        </w:tc>
        <w:tc>
          <w:tcPr>
            <w:tcW w:w="4693" w:type="dxa"/>
            <w:vAlign w:val="center"/>
          </w:tcPr>
          <w:p>
            <w:pPr>
              <w:spacing w:line="2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应注册登记，并按期检验（检验周期为1年），在有效使用期内使用，轿厢内安放检验合格证。</w:t>
            </w: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2</w:t>
            </w:r>
          </w:p>
        </w:tc>
        <w:tc>
          <w:tcPr>
            <w:tcW w:w="4693" w:type="dxa"/>
            <w:vAlign w:val="center"/>
          </w:tcPr>
          <w:p>
            <w:pPr>
              <w:widowControl/>
              <w:numPr>
                <w:ilvl w:val="0"/>
                <w:numId w:val="0"/>
              </w:numPr>
              <w:spacing w:line="320" w:lineRule="exact"/>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使用单位必须制定并严格执行以责任制为核心的安全管理制度和安全操作规程，并固定在轿厢内。</w:t>
            </w:r>
          </w:p>
          <w:p>
            <w:pPr>
              <w:spacing w:line="240" w:lineRule="exact"/>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3</w:t>
            </w:r>
          </w:p>
        </w:tc>
        <w:tc>
          <w:tcPr>
            <w:tcW w:w="4693" w:type="dxa"/>
            <w:vAlign w:val="center"/>
          </w:tcPr>
          <w:p>
            <w:pPr>
              <w:spacing w:line="2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生产系统电梯应有专人负责且持证上岗。</w:t>
            </w: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4</w:t>
            </w:r>
          </w:p>
        </w:tc>
        <w:tc>
          <w:tcPr>
            <w:tcW w:w="4693" w:type="dxa"/>
            <w:vAlign w:val="center"/>
          </w:tcPr>
          <w:p>
            <w:pPr>
              <w:widowControl/>
              <w:numPr>
                <w:ilvl w:val="0"/>
                <w:numId w:val="0"/>
              </w:numPr>
              <w:spacing w:line="32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电梯供电正常，楼层显示器准确。</w:t>
            </w:r>
          </w:p>
          <w:p>
            <w:pPr>
              <w:spacing w:line="240" w:lineRule="exact"/>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5</w:t>
            </w:r>
          </w:p>
        </w:tc>
        <w:tc>
          <w:tcPr>
            <w:tcW w:w="4693" w:type="dxa"/>
            <w:vAlign w:val="center"/>
          </w:tcPr>
          <w:p>
            <w:pPr>
              <w:spacing w:line="2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kern w:val="0"/>
                <w:sz w:val="21"/>
                <w:szCs w:val="21"/>
              </w:rPr>
              <w:t>限速器、安全钳、缓冲器、限位器、报警装置以及门的联锁装置、安全保护装置应完整，且灵敏可靠。</w:t>
            </w:r>
            <w:bookmarkStart w:id="0" w:name="_GoBack"/>
            <w:bookmarkEnd w:id="0"/>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6</w:t>
            </w:r>
          </w:p>
        </w:tc>
        <w:tc>
          <w:tcPr>
            <w:tcW w:w="4693" w:type="dxa"/>
            <w:vAlign w:val="center"/>
          </w:tcPr>
          <w:p>
            <w:pPr>
              <w:widowControl/>
              <w:numPr>
                <w:ilvl w:val="0"/>
                <w:numId w:val="0"/>
              </w:numPr>
              <w:spacing w:line="32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Cs/>
                <w:kern w:val="0"/>
                <w:sz w:val="21"/>
                <w:szCs w:val="21"/>
              </w:rPr>
              <w:t>轿厢结构牢固可靠、运行平稳，轿门关闭时无撞击</w:t>
            </w:r>
            <w:r>
              <w:rPr>
                <w:rFonts w:hint="eastAsia" w:asciiTheme="minorEastAsia" w:hAnsiTheme="minorEastAsia" w:eastAsiaTheme="minorEastAsia" w:cstheme="minorEastAsia"/>
                <w:kern w:val="0"/>
                <w:sz w:val="21"/>
                <w:szCs w:val="21"/>
              </w:rPr>
              <w:t>，排气扇运行正常。</w:t>
            </w:r>
          </w:p>
          <w:p>
            <w:pPr>
              <w:spacing w:line="240" w:lineRule="exact"/>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7</w:t>
            </w:r>
          </w:p>
        </w:tc>
        <w:tc>
          <w:tcPr>
            <w:tcW w:w="4693" w:type="dxa"/>
            <w:vAlign w:val="center"/>
          </w:tcPr>
          <w:p>
            <w:pPr>
              <w:widowControl/>
              <w:numPr>
                <w:ilvl w:val="0"/>
                <w:numId w:val="0"/>
              </w:numPr>
              <w:spacing w:line="320" w:lineRule="exact"/>
              <w:ind w:leftChars="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Cs/>
                <w:kern w:val="0"/>
                <w:sz w:val="21"/>
                <w:szCs w:val="21"/>
              </w:rPr>
              <w:t>轿厢内应设有与外界联系的通讯设施、报警系统和应急照明设施。</w:t>
            </w:r>
          </w:p>
          <w:p>
            <w:pPr>
              <w:spacing w:line="240" w:lineRule="exact"/>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8</w:t>
            </w:r>
          </w:p>
        </w:tc>
        <w:tc>
          <w:tcPr>
            <w:tcW w:w="4693" w:type="dxa"/>
            <w:vAlign w:val="center"/>
          </w:tcPr>
          <w:p>
            <w:pPr>
              <w:spacing w:line="2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kern w:val="0"/>
                <w:sz w:val="21"/>
                <w:szCs w:val="21"/>
              </w:rPr>
              <w:t>轿厢门开启灵敏，防夹人的安全装置完好有效，间隙符合要求。</w:t>
            </w: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9</w:t>
            </w:r>
          </w:p>
        </w:tc>
        <w:tc>
          <w:tcPr>
            <w:tcW w:w="4693" w:type="dxa"/>
            <w:vAlign w:val="center"/>
          </w:tcPr>
          <w:p>
            <w:pPr>
              <w:numPr>
                <w:ilvl w:val="0"/>
                <w:numId w:val="0"/>
              </w:numPr>
              <w:spacing w:line="320" w:lineRule="exact"/>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机房内应通风、屏护良好，且清洁、无杂物；并应配置合适的消防设施、固定照明和电源插座。</w:t>
            </w:r>
          </w:p>
          <w:p>
            <w:pPr>
              <w:spacing w:line="240" w:lineRule="exact"/>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ascii="仿宋_GB2312" w:eastAsia="仿宋_GB2312"/>
                <w:sz w:val="28"/>
                <w:szCs w:val="28"/>
              </w:rPr>
            </w:pPr>
            <w:r>
              <w:rPr>
                <w:rFonts w:hint="eastAsia" w:ascii="仿宋_GB2312" w:eastAsia="仿宋_GB2312"/>
                <w:sz w:val="28"/>
                <w:szCs w:val="28"/>
              </w:rPr>
              <w:t>10</w:t>
            </w:r>
          </w:p>
        </w:tc>
        <w:tc>
          <w:tcPr>
            <w:tcW w:w="4693" w:type="dxa"/>
            <w:vAlign w:val="center"/>
          </w:tcPr>
          <w:p>
            <w:pPr>
              <w:numPr>
                <w:ilvl w:val="0"/>
                <w:numId w:val="0"/>
              </w:numPr>
              <w:spacing w:line="320" w:lineRule="exact"/>
              <w:ind w:leftChars="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房门应上锁，</w:t>
            </w:r>
            <w:r>
              <w:rPr>
                <w:rFonts w:hint="eastAsia" w:asciiTheme="minorEastAsia" w:hAnsiTheme="minorEastAsia" w:eastAsiaTheme="minorEastAsia" w:cstheme="minorEastAsia"/>
                <w:sz w:val="21"/>
                <w:szCs w:val="21"/>
              </w:rPr>
              <w:t>通向机房、滑轮间和底坑的通道应畅通，且应有永久性照明。</w:t>
            </w:r>
          </w:p>
          <w:p>
            <w:pPr>
              <w:spacing w:line="240" w:lineRule="exact"/>
              <w:jc w:val="both"/>
              <w:rPr>
                <w:rFonts w:hint="eastAsia" w:asciiTheme="minorEastAsia" w:hAnsiTheme="minorEastAsia" w:eastAsiaTheme="minorEastAsia" w:cstheme="minorEastAsia"/>
                <w:sz w:val="21"/>
                <w:szCs w:val="21"/>
              </w:rPr>
            </w:pP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pPr>
              <w:spacing w:line="400" w:lineRule="exact"/>
              <w:jc w:val="center"/>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1</w:t>
            </w:r>
          </w:p>
        </w:tc>
        <w:tc>
          <w:tcPr>
            <w:tcW w:w="4693" w:type="dxa"/>
            <w:vAlign w:val="center"/>
          </w:tcPr>
          <w:p>
            <w:pPr>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其他异常情况</w:t>
            </w:r>
          </w:p>
        </w:tc>
        <w:tc>
          <w:tcPr>
            <w:tcW w:w="5560" w:type="dxa"/>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c>
          <w:tcPr>
            <w:tcW w:w="0" w:type="auto"/>
            <w:vAlign w:val="center"/>
          </w:tcPr>
          <w:p>
            <w:pPr>
              <w:spacing w:line="400" w:lineRule="exact"/>
              <w:jc w:val="center"/>
              <w:rPr>
                <w:rFonts w:ascii="仿宋_GB2312" w:eastAsia="仿宋_GB2312"/>
                <w:sz w:val="28"/>
                <w:szCs w:val="28"/>
              </w:rPr>
            </w:pPr>
          </w:p>
        </w:tc>
      </w:tr>
    </w:tbl>
    <w:p/>
    <w:sectPr>
      <w:pgSz w:w="16838" w:h="11906" w:orient="landscape"/>
      <w:pgMar w:top="493" w:right="720" w:bottom="493"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1DB51969"/>
    <w:rsid w:val="00372120"/>
    <w:rsid w:val="00697295"/>
    <w:rsid w:val="00865D45"/>
    <w:rsid w:val="18FA60CD"/>
    <w:rsid w:val="1DB51969"/>
    <w:rsid w:val="39D51FF5"/>
    <w:rsid w:val="4E1843A5"/>
    <w:rsid w:val="654B1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Times New Roman" w:hAnsi="Times New Roman" w:eastAsia="宋体" w:cs="Times New Roman"/>
      <w:kern w:val="2"/>
      <w:sz w:val="18"/>
      <w:szCs w:val="18"/>
    </w:rPr>
  </w:style>
  <w:style w:type="character" w:customStyle="1" w:styleId="8">
    <w:name w:val="页脚 字符"/>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69</Words>
  <Characters>396</Characters>
  <Lines>3</Lines>
  <Paragraphs>1</Paragraphs>
  <TotalTime>6</TotalTime>
  <ScaleCrop>false</ScaleCrop>
  <LinksUpToDate>false</LinksUpToDate>
  <CharactersWithSpaces>464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2023-04-15T17:41:00Z</dcterms:created>
  <dc:creator>海天网络VX9517534</dc:creator>
  <dc:description>海天网络VX9517534</dc:description>
  <cp:keywords>海天网络VX9517534</cp:keywords>
  <cp:lastModifiedBy>黎明</cp:lastModifiedBy>
  <dcterms:modified xsi:type="dcterms:W3CDTF">2023-04-15T22:01:53Z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7D625BDAA36049E5B14F0AE9B3DE0FEB_11</vt:lpwstr>
  </property>
</Properties>
</file>