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每周电梯安全排查治理报告</w:t>
      </w:r>
    </w:p>
    <w:p>
      <w:pPr>
        <w:ind w:right="840"/>
        <w:jc w:val="center"/>
        <w:rPr>
          <w:rFonts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微软雅黑" w:hAnsi="微软雅黑" w:eastAsia="微软雅黑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20</w:t>
      </w:r>
      <w:r>
        <w:rPr>
          <w:rFonts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30416</w:t>
      </w:r>
    </w:p>
    <w:tbl>
      <w:tblPr>
        <w:tblStyle w:val="5"/>
        <w:tblW w:w="475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2"/>
        <w:gridCol w:w="2690"/>
        <w:gridCol w:w="522"/>
        <w:gridCol w:w="1881"/>
        <w:gridCol w:w="2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82" w:type="dxa"/>
            <w:gridSpan w:val="2"/>
          </w:tcPr>
          <w:p>
            <w:pPr>
              <w:ind w:right="84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收件人：</w:t>
            </w:r>
          </w:p>
        </w:tc>
        <w:tc>
          <w:tcPr>
            <w:tcW w:w="4857" w:type="dxa"/>
            <w:gridSpan w:val="3"/>
          </w:tcPr>
          <w:p>
            <w:pPr>
              <w:ind w:right="84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抄送：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9" w:type="dxa"/>
            <w:gridSpan w:val="5"/>
          </w:tcPr>
          <w:p>
            <w:pPr>
              <w:ind w:right="84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报告周期：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3年04月1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日—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3年04月16日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9" w:type="dxa"/>
            <w:gridSpan w:val="5"/>
          </w:tcPr>
          <w:p>
            <w:pPr>
              <w:ind w:right="84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报告内容：</w:t>
            </w:r>
          </w:p>
          <w:p>
            <w:pPr>
              <w:pStyle w:val="7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本周主要存在的电梯安全风险隐患</w:t>
            </w: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企业电梯资质是否满足合规性要求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ind w:right="840" w:firstLine="1573" w:firstLineChars="655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运行条件的电梯安全风险评估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pStyle w:val="7"/>
              <w:ind w:firstLine="0" w:firstLineChars="0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作业人员管理情况的电梯安全风险评估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ind w:firstLine="1173" w:firstLineChars="489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信息记录和追溯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pStyle w:val="7"/>
              <w:ind w:firstLine="1288" w:firstLineChars="537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电梯安全事故处置情况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pStyle w:val="7"/>
              <w:ind w:firstLine="1288" w:firstLineChars="537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其他电梯安全隐患风险排查情况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ind w:right="840" w:firstLine="1572" w:firstLineChars="655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上一周电梯安全风险隐患问题整改落实情况</w:t>
            </w:r>
          </w:p>
          <w:p>
            <w:pPr>
              <w:ind w:firstLine="723" w:firstLineChars="301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本周电梯安全管理情况评价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00B050"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sym w:font="Wingdings 2" w:char="F052"/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color w:val="00B05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t>电梯安全风险可控，无较大电梯安全风险隐患。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FF9900"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hAnsi="微软雅黑" w:eastAsia="微软雅黑"/>
                <w:bCs/>
                <w:color w:val="FF9900"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Cs/>
                <w:color w:val="FF9900"/>
                <w:sz w:val="24"/>
              </w:rPr>
              <w:t>存在电梯安全风险隐患，需尽快采取防范措施。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FF0000"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hAnsi="微软雅黑" w:eastAsia="微软雅黑"/>
                <w:bCs/>
                <w:color w:val="FF0000"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Cs/>
                <w:color w:val="FF0000"/>
                <w:sz w:val="24"/>
              </w:rPr>
              <w:t>存在严重电梯安全风险隐患，需尽快采取防范措施，请公司负责人重视。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FF0000"/>
                <w:sz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spacing w:before="156" w:beforeLines="50"/>
              <w:ind w:right="839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下周工作重点</w:t>
            </w:r>
          </w:p>
          <w:p>
            <w:pPr>
              <w:ind w:left="723" w:leftChars="344" w:right="840" w:hanging="1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723" w:leftChars="344" w:right="840" w:hanging="1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723" w:leftChars="344" w:right="840" w:hanging="1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892" w:type="dxa"/>
          </w:tcPr>
          <w:p>
            <w:pPr>
              <w:ind w:right="-108"/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报告人</w:t>
            </w:r>
          </w:p>
        </w:tc>
        <w:tc>
          <w:tcPr>
            <w:tcW w:w="3212" w:type="dxa"/>
            <w:gridSpan w:val="2"/>
          </w:tcPr>
          <w:p>
            <w:pPr>
              <w:ind w:right="840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</w:tcPr>
          <w:p>
            <w:pPr>
              <w:ind w:right="-107"/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报告日期</w:t>
            </w:r>
          </w:p>
        </w:tc>
        <w:tc>
          <w:tcPr>
            <w:tcW w:w="2454" w:type="dxa"/>
          </w:tcPr>
          <w:p>
            <w:pPr>
              <w:ind w:right="840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right="840"/>
        <w:jc w:val="left"/>
        <w:rPr>
          <w:rFonts w:ascii="微软雅黑" w:hAnsi="微软雅黑" w:eastAsia="微软雅黑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p/>
    <w:sectPr>
      <w:headerReference r:id="rId3" w:type="default"/>
      <w:pgSz w:w="11906" w:h="16838"/>
      <w:pgMar w:top="1418" w:right="567" w:bottom="1418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BankGothic Md BT">
    <w:panose1 w:val="020B0807020203060204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BankGothic Md BT" w:hAnsi="BankGothic Md BT"/>
        <w:b/>
        <w:color w:val="7F7F7F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A33A7"/>
    <w:multiLevelType w:val="multilevel"/>
    <w:tmpl w:val="0E1A33A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0B1E1A"/>
    <w:multiLevelType w:val="multilevel"/>
    <w:tmpl w:val="350B1E1A"/>
    <w:lvl w:ilvl="0" w:tentative="0">
      <w:start w:val="1"/>
      <w:numFmt w:val="decimal"/>
      <w:lvlText w:val="%1)"/>
      <w:lvlJc w:val="left"/>
      <w:pPr>
        <w:ind w:left="1140" w:hanging="420"/>
      </w:p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6F803DFF"/>
    <w:multiLevelType w:val="multilevel"/>
    <w:tmpl w:val="6F803DFF"/>
    <w:lvl w:ilvl="0" w:tentative="0">
      <w:start w:val="1"/>
      <w:numFmt w:val="bullet"/>
      <w:lvlText w:val="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A57129A"/>
    <w:rsid w:val="000841C4"/>
    <w:rsid w:val="007402DA"/>
    <w:rsid w:val="00AA7BF1"/>
    <w:rsid w:val="00B37FC4"/>
    <w:rsid w:val="30601748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79</Words>
  <Characters>456</Characters>
  <Lines>3</Lines>
  <Paragraphs>1</Paragraphs>
  <TotalTime>0</TotalTime>
  <ScaleCrop>false</ScaleCrop>
  <LinksUpToDate>false</LinksUpToDate>
  <CharactersWithSpaces>534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2023-04-15T17:41:00Z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2023-04-15T20:56:17Z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