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keepLines/>
        <w:widowControl/>
        <w:spacing w:after="0" w:line="594" w:lineRule="exact"/>
        <w:rPr>
          <w:rFonts w:ascii="方正小标宋简体" w:hAnsi="方正小标宋简体" w:eastAsia="方正小标宋简体" w:cs="方正小标宋简体"/>
          <w:color w:val="FF0000"/>
          <w:sz w:val="44"/>
          <w:szCs w:val="44"/>
          <w:lang w:val="en-US" w:eastAsia="zh-CN"/>
        </w:rPr>
      </w:pPr>
      <w:bookmarkStart w:id="0" w:name="bookmark30"/>
      <w:bookmarkStart w:id="1" w:name="bookmark32"/>
      <w:bookmarkStart w:id="2" w:name="bookmark31"/>
      <w:r>
        <w:rPr>
          <w:rFonts w:hint="eastAsia" w:ascii="方正小标宋简体" w:hAnsi="方正小标宋简体" w:eastAsia="方正小标宋简体" w:cs="方正小标宋简体"/>
          <w:sz w:val="44"/>
          <w:szCs w:val="44"/>
          <w:lang w:val="en-US" w:eastAsia="zh-CN"/>
        </w:rPr>
        <w:t xml:space="preserve">  </w:t>
      </w:r>
      <w:bookmarkEnd w:id="0"/>
      <w:bookmarkEnd w:id="1"/>
      <w:bookmarkEnd w:id="2"/>
      <w:r>
        <w:rPr>
          <w:rStyle w:val="9"/>
          <w:rFonts w:hint="eastAsia"/>
          <w:lang w:val="en-US" w:eastAsia="zh-CN"/>
        </w:rPr>
        <w:t>电梯安全</w:t>
      </w:r>
      <w:r>
        <w:rPr>
          <w:rStyle w:val="9"/>
          <w:rFonts w:hint="eastAsia"/>
          <w:lang w:eastAsia="zh-CN"/>
        </w:rPr>
        <w:t>风险防控清单</w:t>
      </w:r>
    </w:p>
    <w:tbl>
      <w:tblPr>
        <w:tblStyle w:val="6"/>
        <w:tblpPr w:leftFromText="180" w:rightFromText="180" w:vertAnchor="text" w:horzAnchor="page" w:tblpX="761" w:tblpY="364"/>
        <w:tblOverlap w:val="never"/>
        <w:tblW w:w="144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1179"/>
        <w:gridCol w:w="3021"/>
        <w:gridCol w:w="3833"/>
        <w:gridCol w:w="5052"/>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blHeader/>
        </w:trPr>
        <w:tc>
          <w:tcPr>
            <w:tcW w:w="583" w:type="dxa"/>
            <w:vMerge w:val="restart"/>
            <w:vAlign w:val="center"/>
          </w:tcPr>
          <w:p>
            <w:pPr>
              <w:pStyle w:val="11"/>
              <w:spacing w:line="240" w:lineRule="auto"/>
              <w:ind w:firstLine="0"/>
              <w:jc w:val="center"/>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序号</w:t>
            </w:r>
          </w:p>
        </w:tc>
        <w:tc>
          <w:tcPr>
            <w:tcW w:w="1179" w:type="dxa"/>
            <w:vMerge w:val="restart"/>
            <w:vAlign w:val="center"/>
          </w:tcPr>
          <w:p>
            <w:pPr>
              <w:pStyle w:val="11"/>
              <w:spacing w:line="240" w:lineRule="auto"/>
              <w:ind w:firstLine="0"/>
              <w:jc w:val="center"/>
              <w:rPr>
                <w:rFonts w:ascii="黑体" w:hAnsi="黑体" w:eastAsia="黑体" w:cs="黑体"/>
                <w:color w:val="auto"/>
                <w:sz w:val="24"/>
                <w:szCs w:val="24"/>
              </w:rPr>
            </w:pPr>
            <w:r>
              <w:rPr>
                <w:rFonts w:hint="eastAsia" w:ascii="黑体" w:hAnsi="黑体" w:eastAsia="黑体" w:cs="黑体"/>
                <w:color w:val="auto"/>
                <w:sz w:val="24"/>
                <w:szCs w:val="24"/>
              </w:rPr>
              <w:t>项目</w:t>
            </w:r>
          </w:p>
        </w:tc>
        <w:tc>
          <w:tcPr>
            <w:tcW w:w="3021" w:type="dxa"/>
            <w:vMerge w:val="restart"/>
            <w:vAlign w:val="center"/>
          </w:tcPr>
          <w:p>
            <w:pPr>
              <w:pStyle w:val="11"/>
              <w:spacing w:line="240" w:lineRule="auto"/>
              <w:ind w:firstLine="0"/>
              <w:jc w:val="center"/>
              <w:rPr>
                <w:rFonts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存在问题和风险隐患</w:t>
            </w:r>
          </w:p>
        </w:tc>
        <w:tc>
          <w:tcPr>
            <w:tcW w:w="3833" w:type="dxa"/>
            <w:vMerge w:val="restart"/>
            <w:vAlign w:val="center"/>
          </w:tcPr>
          <w:p>
            <w:pPr>
              <w:pStyle w:val="11"/>
              <w:spacing w:line="240" w:lineRule="auto"/>
              <w:ind w:firstLine="0"/>
              <w:jc w:val="center"/>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检查要求</w:t>
            </w:r>
          </w:p>
        </w:tc>
        <w:tc>
          <w:tcPr>
            <w:tcW w:w="5052" w:type="dxa"/>
            <w:vMerge w:val="restart"/>
            <w:vAlign w:val="center"/>
          </w:tcPr>
          <w:p>
            <w:pPr>
              <w:pStyle w:val="11"/>
              <w:spacing w:line="240" w:lineRule="auto"/>
              <w:ind w:firstLine="0"/>
              <w:jc w:val="center"/>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防控措施</w:t>
            </w:r>
          </w:p>
        </w:tc>
        <w:tc>
          <w:tcPr>
            <w:tcW w:w="816" w:type="dxa"/>
            <w:vMerge w:val="restart"/>
            <w:vAlign w:val="center"/>
          </w:tcPr>
          <w:p>
            <w:pPr>
              <w:pStyle w:val="11"/>
              <w:spacing w:line="240" w:lineRule="auto"/>
              <w:ind w:firstLine="0"/>
              <w:jc w:val="center"/>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blHeader/>
        </w:trPr>
        <w:tc>
          <w:tcPr>
            <w:tcW w:w="583" w:type="dxa"/>
            <w:vMerge w:val="continue"/>
            <w:vAlign w:val="center"/>
          </w:tcPr>
          <w:p>
            <w:pPr>
              <w:pStyle w:val="11"/>
              <w:spacing w:line="240" w:lineRule="auto"/>
              <w:ind w:firstLine="0"/>
              <w:jc w:val="center"/>
              <w:rPr>
                <w:rFonts w:ascii="黑体" w:hAnsi="黑体" w:eastAsia="黑体" w:cs="黑体"/>
                <w:color w:val="auto"/>
                <w:sz w:val="24"/>
                <w:szCs w:val="24"/>
                <w:lang w:eastAsia="zh-CN"/>
              </w:rPr>
            </w:pPr>
          </w:p>
        </w:tc>
        <w:tc>
          <w:tcPr>
            <w:tcW w:w="1179" w:type="dxa"/>
            <w:vMerge w:val="continue"/>
            <w:vAlign w:val="center"/>
          </w:tcPr>
          <w:p>
            <w:pPr>
              <w:pStyle w:val="11"/>
              <w:spacing w:line="240" w:lineRule="auto"/>
              <w:ind w:firstLine="0"/>
              <w:jc w:val="center"/>
              <w:rPr>
                <w:rFonts w:ascii="黑体" w:hAnsi="黑体" w:eastAsia="黑体" w:cs="黑体"/>
                <w:color w:val="auto"/>
                <w:sz w:val="24"/>
                <w:szCs w:val="24"/>
              </w:rPr>
            </w:pPr>
          </w:p>
        </w:tc>
        <w:tc>
          <w:tcPr>
            <w:tcW w:w="3021" w:type="dxa"/>
            <w:vMerge w:val="continue"/>
            <w:vAlign w:val="center"/>
          </w:tcPr>
          <w:p>
            <w:pPr>
              <w:pStyle w:val="11"/>
              <w:spacing w:line="240" w:lineRule="auto"/>
              <w:ind w:firstLine="0"/>
              <w:jc w:val="center"/>
              <w:rPr>
                <w:rFonts w:ascii="黑体" w:hAnsi="黑体" w:eastAsia="黑体" w:cs="黑体"/>
                <w:color w:val="auto"/>
                <w:sz w:val="24"/>
                <w:szCs w:val="24"/>
                <w:lang w:val="en-US" w:eastAsia="zh-CN"/>
              </w:rPr>
            </w:pPr>
          </w:p>
        </w:tc>
        <w:tc>
          <w:tcPr>
            <w:tcW w:w="3833" w:type="dxa"/>
            <w:vMerge w:val="continue"/>
            <w:vAlign w:val="center"/>
          </w:tcPr>
          <w:p>
            <w:pPr>
              <w:pStyle w:val="11"/>
              <w:spacing w:line="240" w:lineRule="auto"/>
              <w:ind w:firstLine="0"/>
              <w:jc w:val="center"/>
              <w:rPr>
                <w:rFonts w:ascii="黑体" w:hAnsi="黑体" w:eastAsia="黑体" w:cs="黑体"/>
                <w:color w:val="auto"/>
                <w:sz w:val="24"/>
                <w:szCs w:val="24"/>
                <w:lang w:eastAsia="zh-CN"/>
              </w:rPr>
            </w:pPr>
          </w:p>
        </w:tc>
        <w:tc>
          <w:tcPr>
            <w:tcW w:w="5052" w:type="dxa"/>
            <w:vMerge w:val="continue"/>
            <w:vAlign w:val="center"/>
          </w:tcPr>
          <w:p>
            <w:pPr>
              <w:pStyle w:val="11"/>
              <w:spacing w:line="240" w:lineRule="auto"/>
              <w:ind w:firstLine="0"/>
              <w:jc w:val="center"/>
              <w:rPr>
                <w:rFonts w:ascii="黑体" w:hAnsi="黑体" w:eastAsia="黑体" w:cs="黑体"/>
                <w:color w:val="auto"/>
                <w:sz w:val="24"/>
                <w:szCs w:val="24"/>
                <w:lang w:eastAsia="zh-CN"/>
              </w:rPr>
            </w:pPr>
          </w:p>
        </w:tc>
        <w:tc>
          <w:tcPr>
            <w:tcW w:w="816" w:type="dxa"/>
            <w:vMerge w:val="continue"/>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50" w:hRule="atLeast"/>
          <w:tblHeader/>
        </w:trPr>
        <w:tc>
          <w:tcPr>
            <w:tcW w:w="583" w:type="dxa"/>
            <w:vMerge w:val="restart"/>
            <w:vAlign w:val="center"/>
          </w:tcPr>
          <w:p>
            <w:pPr>
              <w:pStyle w:val="11"/>
              <w:spacing w:line="240" w:lineRule="auto"/>
              <w:ind w:firstLine="0"/>
              <w:jc w:val="center"/>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1</w:t>
            </w:r>
          </w:p>
        </w:tc>
        <w:tc>
          <w:tcPr>
            <w:tcW w:w="1179" w:type="dxa"/>
            <w:vMerge w:val="restart"/>
            <w:vAlign w:val="center"/>
          </w:tcPr>
          <w:p>
            <w:pPr>
              <w:spacing w:line="300" w:lineRule="exact"/>
              <w:jc w:val="center"/>
              <w:rPr>
                <w:rFonts w:hint="eastAsia" w:ascii="宋体" w:hAnsi="宋体" w:eastAsia="宋体" w:cs="Times New Roman"/>
                <w:kern w:val="2"/>
                <w:sz w:val="21"/>
                <w:szCs w:val="22"/>
                <w:lang w:val="en-US" w:eastAsia="zh-CN" w:bidi="ar-SA"/>
              </w:rPr>
            </w:pPr>
            <w:r>
              <w:rPr>
                <w:rFonts w:hint="eastAsia" w:ascii="宋体" w:hAnsi="宋体"/>
                <w:lang w:val="en-US" w:eastAsia="zh-CN"/>
              </w:rPr>
              <w:t>安全管理</w:t>
            </w:r>
          </w:p>
        </w:tc>
        <w:tc>
          <w:tcPr>
            <w:tcW w:w="3021" w:type="dxa"/>
            <w:vAlign w:val="center"/>
          </w:tcPr>
          <w:p>
            <w:pPr>
              <w:spacing w:line="240" w:lineRule="exact"/>
              <w:rPr>
                <w:rFonts w:hint="eastAsia" w:ascii="宋体" w:hAnsi="宋体" w:eastAsia="宋体" w:cs="Times New Roman"/>
                <w:kern w:val="2"/>
                <w:sz w:val="21"/>
                <w:szCs w:val="22"/>
                <w:lang w:val="en-US" w:eastAsia="zh-CN" w:bidi="ar-SA"/>
              </w:rPr>
            </w:pPr>
            <w:r>
              <w:rPr>
                <w:rFonts w:hint="eastAsia" w:ascii="宋体"/>
                <w:kern w:val="0"/>
                <w:lang w:val="en-US" w:eastAsia="zh-CN"/>
              </w:rPr>
              <w:t>未</w:t>
            </w:r>
            <w:r>
              <w:rPr>
                <w:rFonts w:hint="eastAsia" w:ascii="宋体"/>
                <w:kern w:val="0"/>
              </w:rPr>
              <w:t>注册登记，</w:t>
            </w:r>
            <w:r>
              <w:rPr>
                <w:rFonts w:hint="eastAsia" w:ascii="宋体"/>
                <w:kern w:val="0"/>
                <w:lang w:val="en-US" w:eastAsia="zh-CN"/>
              </w:rPr>
              <w:t>未</w:t>
            </w:r>
            <w:r>
              <w:rPr>
                <w:rFonts w:hint="eastAsia" w:ascii="宋体"/>
                <w:kern w:val="0"/>
              </w:rPr>
              <w:t>按期检验（检验周期为1年），轿厢内</w:t>
            </w:r>
            <w:r>
              <w:rPr>
                <w:rFonts w:hint="eastAsia" w:ascii="宋体"/>
                <w:kern w:val="0"/>
                <w:lang w:val="en-US" w:eastAsia="zh-CN"/>
              </w:rPr>
              <w:t>未</w:t>
            </w:r>
            <w:r>
              <w:rPr>
                <w:rFonts w:hint="eastAsia" w:ascii="宋体"/>
                <w:kern w:val="0"/>
              </w:rPr>
              <w:t>安放检验合格证。</w:t>
            </w:r>
          </w:p>
        </w:tc>
        <w:tc>
          <w:tcPr>
            <w:tcW w:w="3833" w:type="dxa"/>
            <w:vAlign w:val="center"/>
          </w:tcPr>
          <w:p>
            <w:pPr>
              <w:spacing w:line="240" w:lineRule="exact"/>
              <w:rPr>
                <w:rFonts w:hint="eastAsia" w:ascii="宋体" w:hAnsi="宋体" w:eastAsia="宋体" w:cs="Times New Roman"/>
                <w:kern w:val="2"/>
                <w:sz w:val="21"/>
                <w:szCs w:val="22"/>
                <w:lang w:val="en-US" w:eastAsia="zh-CN" w:bidi="ar-SA"/>
              </w:rPr>
            </w:pPr>
            <w:r>
              <w:rPr>
                <w:rFonts w:hint="eastAsia" w:ascii="宋体"/>
                <w:kern w:val="0"/>
              </w:rPr>
              <w:t>应注册登记，并按期检验（检验周期为1年），在有效使用期内使用，轿厢内安放检验合格证。</w:t>
            </w: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blHeader/>
        </w:trPr>
        <w:tc>
          <w:tcPr>
            <w:tcW w:w="583" w:type="dxa"/>
            <w:vMerge w:val="continue"/>
            <w:tcBorders/>
            <w:vAlign w:val="center"/>
          </w:tcPr>
          <w:p>
            <w:pPr>
              <w:pStyle w:val="11"/>
              <w:spacing w:line="240" w:lineRule="auto"/>
              <w:ind w:firstLine="0"/>
              <w:jc w:val="center"/>
              <w:rPr>
                <w:rFonts w:ascii="黑体" w:hAnsi="黑体" w:eastAsia="黑体" w:cs="黑体"/>
                <w:color w:val="auto"/>
                <w:sz w:val="24"/>
                <w:szCs w:val="24"/>
                <w:lang w:eastAsia="zh-CN"/>
              </w:rPr>
            </w:pPr>
          </w:p>
        </w:tc>
        <w:tc>
          <w:tcPr>
            <w:tcW w:w="1179" w:type="dxa"/>
            <w:vMerge w:val="continue"/>
            <w:tcBorders/>
            <w:vAlign w:val="center"/>
          </w:tcPr>
          <w:p>
            <w:pPr>
              <w:spacing w:line="300" w:lineRule="exact"/>
              <w:jc w:val="center"/>
              <w:rPr>
                <w:rFonts w:ascii="黑体" w:hAnsi="黑体" w:eastAsia="黑体" w:cs="黑体"/>
                <w:sz w:val="24"/>
                <w:szCs w:val="24"/>
              </w:rPr>
            </w:pPr>
          </w:p>
        </w:tc>
        <w:tc>
          <w:tcPr>
            <w:tcW w:w="3021" w:type="dxa"/>
            <w:vAlign w:val="center"/>
          </w:tcPr>
          <w:p>
            <w:pPr>
              <w:widowControl/>
              <w:numPr>
                <w:ilvl w:val="0"/>
                <w:numId w:val="0"/>
              </w:numPr>
              <w:spacing w:line="320" w:lineRule="exact"/>
              <w:jc w:val="left"/>
              <w:rPr>
                <w:rFonts w:hint="eastAsia" w:ascii="宋体"/>
                <w:kern w:val="0"/>
              </w:rPr>
            </w:pPr>
            <w:r>
              <w:rPr>
                <w:rFonts w:hint="eastAsia" w:ascii="宋体"/>
                <w:kern w:val="0"/>
                <w:lang w:val="en-US" w:eastAsia="zh-CN"/>
              </w:rPr>
              <w:t>未</w:t>
            </w:r>
            <w:r>
              <w:rPr>
                <w:rFonts w:hint="eastAsia" w:ascii="宋体"/>
                <w:kern w:val="0"/>
              </w:rPr>
              <w:t>制定并严格执行以责任制为核心的安全管理制度和安全操作规程，并固定在轿厢内。</w:t>
            </w:r>
          </w:p>
          <w:p>
            <w:pPr>
              <w:spacing w:line="240" w:lineRule="exact"/>
              <w:rPr>
                <w:rFonts w:hint="eastAsia" w:ascii="宋体" w:hAnsi="宋体" w:eastAsia="宋体" w:cs="Times New Roman"/>
                <w:kern w:val="2"/>
                <w:sz w:val="21"/>
                <w:szCs w:val="22"/>
                <w:lang w:val="en-US" w:eastAsia="zh-CN" w:bidi="ar-SA"/>
              </w:rPr>
            </w:pPr>
          </w:p>
        </w:tc>
        <w:tc>
          <w:tcPr>
            <w:tcW w:w="3833" w:type="dxa"/>
            <w:vAlign w:val="center"/>
          </w:tcPr>
          <w:p>
            <w:pPr>
              <w:widowControl/>
              <w:numPr>
                <w:ilvl w:val="0"/>
                <w:numId w:val="0"/>
              </w:numPr>
              <w:spacing w:line="320" w:lineRule="exact"/>
              <w:jc w:val="left"/>
              <w:rPr>
                <w:rFonts w:hint="eastAsia" w:ascii="宋体"/>
                <w:kern w:val="0"/>
              </w:rPr>
            </w:pPr>
            <w:r>
              <w:rPr>
                <w:rFonts w:hint="eastAsia" w:ascii="宋体"/>
                <w:kern w:val="0"/>
              </w:rPr>
              <w:t>使用单位必须制定并严格执行以责任制为核心的安全管理制度和安全操作规程，并固定在轿厢内。</w:t>
            </w:r>
          </w:p>
          <w:p>
            <w:pPr>
              <w:spacing w:line="240" w:lineRule="exact"/>
              <w:rPr>
                <w:rFonts w:hint="eastAsia" w:ascii="宋体" w:hAnsi="宋体" w:eastAsia="宋体" w:cs="Times New Roman"/>
                <w:kern w:val="2"/>
                <w:sz w:val="21"/>
                <w:szCs w:val="22"/>
                <w:lang w:val="en-US" w:eastAsia="zh-CN" w:bidi="ar-SA"/>
              </w:rPr>
            </w:pP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0" w:hRule="atLeast"/>
          <w:tblHeader/>
        </w:trPr>
        <w:tc>
          <w:tcPr>
            <w:tcW w:w="583" w:type="dxa"/>
            <w:vMerge w:val="continue"/>
            <w:tcBorders/>
            <w:vAlign w:val="center"/>
          </w:tcPr>
          <w:p>
            <w:pPr>
              <w:pStyle w:val="11"/>
              <w:spacing w:line="240" w:lineRule="auto"/>
              <w:ind w:firstLine="0"/>
              <w:jc w:val="center"/>
              <w:rPr>
                <w:rFonts w:ascii="黑体" w:hAnsi="黑体" w:eastAsia="黑体" w:cs="黑体"/>
                <w:color w:val="auto"/>
                <w:sz w:val="24"/>
                <w:szCs w:val="24"/>
                <w:lang w:eastAsia="zh-CN"/>
              </w:rPr>
            </w:pPr>
          </w:p>
        </w:tc>
        <w:tc>
          <w:tcPr>
            <w:tcW w:w="1179" w:type="dxa"/>
            <w:vMerge w:val="continue"/>
            <w:tcBorders/>
            <w:vAlign w:val="center"/>
          </w:tcPr>
          <w:p>
            <w:pPr>
              <w:spacing w:line="300" w:lineRule="exact"/>
              <w:jc w:val="center"/>
              <w:rPr>
                <w:rFonts w:ascii="黑体" w:hAnsi="黑体" w:eastAsia="黑体" w:cs="黑体"/>
                <w:sz w:val="24"/>
                <w:szCs w:val="24"/>
              </w:rPr>
            </w:pPr>
          </w:p>
        </w:tc>
        <w:tc>
          <w:tcPr>
            <w:tcW w:w="3021" w:type="dxa"/>
            <w:vAlign w:val="center"/>
          </w:tcPr>
          <w:p>
            <w:pPr>
              <w:spacing w:line="240" w:lineRule="exact"/>
              <w:rPr>
                <w:rFonts w:hint="eastAsia" w:ascii="宋体" w:hAnsi="宋体" w:eastAsia="宋体" w:cs="Times New Roman"/>
                <w:kern w:val="2"/>
                <w:sz w:val="21"/>
                <w:szCs w:val="22"/>
                <w:lang w:val="en-US" w:eastAsia="zh-CN" w:bidi="ar-SA"/>
              </w:rPr>
            </w:pPr>
            <w:r>
              <w:rPr>
                <w:rFonts w:hint="eastAsia"/>
                <w:kern w:val="0"/>
              </w:rPr>
              <w:t>生产系统电梯</w:t>
            </w:r>
            <w:r>
              <w:rPr>
                <w:rFonts w:hint="eastAsia"/>
                <w:kern w:val="0"/>
                <w:lang w:val="en-US" w:eastAsia="zh-CN"/>
              </w:rPr>
              <w:t>没</w:t>
            </w:r>
            <w:r>
              <w:rPr>
                <w:rFonts w:hint="eastAsia"/>
                <w:kern w:val="0"/>
              </w:rPr>
              <w:t>有专人负责</w:t>
            </w:r>
            <w:r>
              <w:rPr>
                <w:rFonts w:hint="eastAsia"/>
                <w:kern w:val="0"/>
                <w:lang w:eastAsia="zh-CN"/>
              </w:rPr>
              <w:t>，</w:t>
            </w:r>
            <w:r>
              <w:rPr>
                <w:rFonts w:hint="eastAsia"/>
                <w:kern w:val="0"/>
                <w:lang w:val="en-US" w:eastAsia="zh-CN"/>
              </w:rPr>
              <w:t>未</w:t>
            </w:r>
            <w:r>
              <w:rPr>
                <w:rFonts w:hint="eastAsia"/>
                <w:kern w:val="0"/>
              </w:rPr>
              <w:t>持证上岗。</w:t>
            </w:r>
          </w:p>
        </w:tc>
        <w:tc>
          <w:tcPr>
            <w:tcW w:w="3833" w:type="dxa"/>
            <w:vAlign w:val="center"/>
          </w:tcPr>
          <w:p>
            <w:pPr>
              <w:spacing w:line="240" w:lineRule="exact"/>
              <w:rPr>
                <w:rFonts w:hint="eastAsia" w:ascii="宋体" w:hAnsi="宋体" w:eastAsia="宋体" w:cs="Times New Roman"/>
                <w:kern w:val="2"/>
                <w:sz w:val="21"/>
                <w:szCs w:val="22"/>
                <w:lang w:val="en-US" w:eastAsia="zh-CN" w:bidi="ar-SA"/>
              </w:rPr>
            </w:pPr>
            <w:r>
              <w:rPr>
                <w:rFonts w:hint="eastAsia"/>
                <w:kern w:val="0"/>
              </w:rPr>
              <w:t>生产系统电梯应有专人负责且持证上岗。</w:t>
            </w: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83" w:type="dxa"/>
            <w:vMerge w:val="restart"/>
            <w:vAlign w:val="center"/>
          </w:tcPr>
          <w:p>
            <w:pPr>
              <w:pStyle w:val="11"/>
              <w:spacing w:line="240" w:lineRule="auto"/>
              <w:ind w:firstLine="0"/>
              <w:jc w:val="center"/>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2</w:t>
            </w:r>
          </w:p>
        </w:tc>
        <w:tc>
          <w:tcPr>
            <w:tcW w:w="1179" w:type="dxa"/>
            <w:vMerge w:val="restart"/>
            <w:vAlign w:val="center"/>
          </w:tcPr>
          <w:p>
            <w:pPr>
              <w:spacing w:line="300" w:lineRule="exact"/>
              <w:jc w:val="center"/>
              <w:rPr>
                <w:rFonts w:hint="eastAsia" w:ascii="宋体" w:hAnsi="宋体" w:eastAsia="宋体" w:cs="Times New Roman"/>
                <w:kern w:val="2"/>
                <w:sz w:val="21"/>
                <w:szCs w:val="22"/>
                <w:lang w:val="en-US" w:eastAsia="zh-CN" w:bidi="ar-SA"/>
              </w:rPr>
            </w:pPr>
            <w:r>
              <w:rPr>
                <w:rFonts w:hint="eastAsia" w:ascii="宋体" w:hAnsi="宋体"/>
                <w:lang w:val="en-US" w:eastAsia="zh-CN"/>
              </w:rPr>
              <w:t>安全设施</w:t>
            </w:r>
          </w:p>
        </w:tc>
        <w:tc>
          <w:tcPr>
            <w:tcW w:w="3021" w:type="dxa"/>
            <w:vAlign w:val="center"/>
          </w:tcPr>
          <w:p>
            <w:pPr>
              <w:widowControl/>
              <w:numPr>
                <w:ilvl w:val="0"/>
                <w:numId w:val="0"/>
              </w:numPr>
              <w:spacing w:line="320" w:lineRule="exact"/>
              <w:ind w:leftChars="0"/>
              <w:jc w:val="left"/>
              <w:rPr>
                <w:rFonts w:hint="eastAsia" w:ascii="宋体"/>
                <w:kern w:val="0"/>
              </w:rPr>
            </w:pPr>
            <w:r>
              <w:rPr>
                <w:rFonts w:hint="eastAsia" w:ascii="宋体"/>
                <w:kern w:val="0"/>
              </w:rPr>
              <w:t>电梯供电</w:t>
            </w:r>
            <w:r>
              <w:rPr>
                <w:rFonts w:hint="eastAsia" w:ascii="宋体"/>
                <w:kern w:val="0"/>
                <w:lang w:val="en-US" w:eastAsia="zh-CN"/>
              </w:rPr>
              <w:t>不</w:t>
            </w:r>
            <w:r>
              <w:rPr>
                <w:rFonts w:hint="eastAsia" w:ascii="宋体"/>
                <w:kern w:val="0"/>
              </w:rPr>
              <w:t>正常，楼层显示</w:t>
            </w:r>
            <w:r>
              <w:rPr>
                <w:rFonts w:hint="eastAsia" w:ascii="宋体"/>
                <w:kern w:val="0"/>
                <w:lang w:val="en-US" w:eastAsia="zh-CN"/>
              </w:rPr>
              <w:t>不</w:t>
            </w:r>
            <w:r>
              <w:rPr>
                <w:rFonts w:hint="eastAsia" w:ascii="宋体"/>
                <w:kern w:val="0"/>
              </w:rPr>
              <w:t>准确。</w:t>
            </w:r>
          </w:p>
          <w:p>
            <w:pPr>
              <w:spacing w:line="240" w:lineRule="exact"/>
              <w:rPr>
                <w:rFonts w:hint="eastAsia" w:ascii="宋体" w:hAnsi="宋体" w:eastAsia="宋体" w:cs="Times New Roman"/>
                <w:kern w:val="2"/>
                <w:sz w:val="21"/>
                <w:szCs w:val="22"/>
                <w:lang w:val="en-US" w:eastAsia="zh-CN" w:bidi="ar-SA"/>
              </w:rPr>
            </w:pPr>
          </w:p>
        </w:tc>
        <w:tc>
          <w:tcPr>
            <w:tcW w:w="3833" w:type="dxa"/>
            <w:vAlign w:val="center"/>
          </w:tcPr>
          <w:p>
            <w:pPr>
              <w:widowControl/>
              <w:numPr>
                <w:ilvl w:val="0"/>
                <w:numId w:val="0"/>
              </w:numPr>
              <w:spacing w:line="320" w:lineRule="exact"/>
              <w:ind w:leftChars="0"/>
              <w:jc w:val="left"/>
              <w:rPr>
                <w:rFonts w:hint="eastAsia" w:ascii="宋体"/>
                <w:kern w:val="0"/>
              </w:rPr>
            </w:pPr>
            <w:r>
              <w:rPr>
                <w:rFonts w:hint="eastAsia" w:ascii="宋体"/>
                <w:kern w:val="0"/>
              </w:rPr>
              <w:t>电梯供电正常，楼层显示器准确。</w:t>
            </w:r>
          </w:p>
          <w:p>
            <w:pPr>
              <w:spacing w:line="240" w:lineRule="exact"/>
              <w:rPr>
                <w:rFonts w:hint="eastAsia" w:ascii="宋体" w:hAnsi="宋体" w:eastAsia="宋体" w:cs="Times New Roman"/>
                <w:kern w:val="2"/>
                <w:sz w:val="21"/>
                <w:szCs w:val="22"/>
                <w:lang w:val="en-US" w:eastAsia="zh-CN" w:bidi="ar-SA"/>
              </w:rPr>
            </w:pP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0" w:hRule="atLeast"/>
          <w:tblHeader/>
        </w:trPr>
        <w:tc>
          <w:tcPr>
            <w:tcW w:w="583" w:type="dxa"/>
            <w:vMerge w:val="continue"/>
            <w:tcBorders/>
            <w:vAlign w:val="center"/>
          </w:tcPr>
          <w:p>
            <w:pPr>
              <w:pStyle w:val="11"/>
              <w:spacing w:line="240" w:lineRule="auto"/>
              <w:ind w:firstLine="0"/>
              <w:jc w:val="center"/>
              <w:rPr>
                <w:rFonts w:ascii="黑体" w:hAnsi="黑体" w:eastAsia="黑体" w:cs="黑体"/>
                <w:color w:val="auto"/>
                <w:sz w:val="24"/>
                <w:szCs w:val="24"/>
                <w:lang w:eastAsia="zh-CN"/>
              </w:rPr>
            </w:pPr>
          </w:p>
        </w:tc>
        <w:tc>
          <w:tcPr>
            <w:tcW w:w="1179" w:type="dxa"/>
            <w:vMerge w:val="continue"/>
            <w:tcBorders/>
            <w:vAlign w:val="center"/>
          </w:tcPr>
          <w:p>
            <w:pPr>
              <w:spacing w:line="300" w:lineRule="exact"/>
              <w:jc w:val="center"/>
              <w:rPr>
                <w:rFonts w:ascii="黑体" w:hAnsi="黑体" w:eastAsia="黑体" w:cs="黑体"/>
                <w:sz w:val="24"/>
                <w:szCs w:val="24"/>
              </w:rPr>
            </w:pPr>
          </w:p>
        </w:tc>
        <w:tc>
          <w:tcPr>
            <w:tcW w:w="3021" w:type="dxa"/>
            <w:vAlign w:val="center"/>
          </w:tcPr>
          <w:p>
            <w:pPr>
              <w:spacing w:line="240" w:lineRule="exact"/>
              <w:rPr>
                <w:rFonts w:hint="eastAsia" w:ascii="宋体" w:hAnsi="宋体" w:eastAsia="宋体" w:cs="Times New Roman"/>
                <w:kern w:val="2"/>
                <w:sz w:val="21"/>
                <w:szCs w:val="22"/>
                <w:lang w:val="en-US" w:eastAsia="zh-CN" w:bidi="ar-SA"/>
              </w:rPr>
            </w:pPr>
            <w:r>
              <w:rPr>
                <w:rFonts w:hint="eastAsia" w:ascii="宋体"/>
                <w:bCs/>
                <w:kern w:val="0"/>
              </w:rPr>
              <w:t>限速器、安全钳、缓冲器、限位器、报警装置以及门的联锁装置、安全保护装置</w:t>
            </w:r>
            <w:r>
              <w:rPr>
                <w:rFonts w:hint="eastAsia" w:ascii="宋体"/>
                <w:bCs/>
                <w:kern w:val="0"/>
                <w:lang w:val="en-US" w:eastAsia="zh-CN"/>
              </w:rPr>
              <w:t>不</w:t>
            </w:r>
            <w:r>
              <w:rPr>
                <w:rFonts w:hint="eastAsia" w:ascii="宋体"/>
                <w:bCs/>
                <w:kern w:val="0"/>
              </w:rPr>
              <w:t>完整，。</w:t>
            </w:r>
          </w:p>
        </w:tc>
        <w:tc>
          <w:tcPr>
            <w:tcW w:w="3833" w:type="dxa"/>
            <w:vAlign w:val="center"/>
          </w:tcPr>
          <w:p>
            <w:pPr>
              <w:spacing w:line="240" w:lineRule="exact"/>
              <w:rPr>
                <w:rFonts w:hint="eastAsia" w:ascii="宋体" w:hAnsi="宋体" w:eastAsia="宋体" w:cs="Times New Roman"/>
                <w:kern w:val="2"/>
                <w:sz w:val="21"/>
                <w:szCs w:val="22"/>
                <w:lang w:val="en-US" w:eastAsia="zh-CN" w:bidi="ar-SA"/>
              </w:rPr>
            </w:pPr>
            <w:r>
              <w:rPr>
                <w:rFonts w:hint="eastAsia" w:ascii="宋体"/>
                <w:bCs/>
                <w:kern w:val="0"/>
              </w:rPr>
              <w:t>限速器、安全钳、缓冲器、限位器、报警装置以及门的联锁装置、安全保护装置应完整，且灵敏可靠。</w:t>
            </w: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83" w:type="dxa"/>
            <w:vMerge w:val="restart"/>
            <w:vAlign w:val="center"/>
          </w:tcPr>
          <w:p>
            <w:pPr>
              <w:pStyle w:val="11"/>
              <w:spacing w:line="240" w:lineRule="auto"/>
              <w:ind w:firstLine="0"/>
              <w:jc w:val="center"/>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3</w:t>
            </w:r>
          </w:p>
        </w:tc>
        <w:tc>
          <w:tcPr>
            <w:tcW w:w="1179" w:type="dxa"/>
            <w:vMerge w:val="restart"/>
            <w:vAlign w:val="center"/>
          </w:tcPr>
          <w:p>
            <w:pPr>
              <w:spacing w:line="300" w:lineRule="exact"/>
              <w:jc w:val="center"/>
              <w:rPr>
                <w:rFonts w:hint="eastAsia" w:ascii="宋体" w:hAnsi="宋体" w:eastAsia="宋体" w:cs="Times New Roman"/>
                <w:kern w:val="2"/>
                <w:sz w:val="21"/>
                <w:szCs w:val="22"/>
                <w:lang w:val="en-US" w:eastAsia="zh-CN" w:bidi="ar-SA"/>
              </w:rPr>
            </w:pPr>
            <w:r>
              <w:rPr>
                <w:rFonts w:hint="eastAsia" w:ascii="宋体" w:hAnsi="宋体"/>
                <w:lang w:val="en-US" w:eastAsia="zh-CN"/>
              </w:rPr>
              <w:t>轿厢</w:t>
            </w:r>
          </w:p>
        </w:tc>
        <w:tc>
          <w:tcPr>
            <w:tcW w:w="3021" w:type="dxa"/>
            <w:vAlign w:val="center"/>
          </w:tcPr>
          <w:p>
            <w:pPr>
              <w:widowControl/>
              <w:numPr>
                <w:ilvl w:val="0"/>
                <w:numId w:val="0"/>
              </w:numPr>
              <w:spacing w:line="320" w:lineRule="exact"/>
              <w:ind w:leftChars="0"/>
              <w:jc w:val="left"/>
              <w:rPr>
                <w:rFonts w:hint="eastAsia" w:ascii="宋体"/>
                <w:kern w:val="0"/>
              </w:rPr>
            </w:pPr>
            <w:r>
              <w:rPr>
                <w:rFonts w:hint="eastAsia" w:ascii="宋体"/>
                <w:bCs/>
                <w:kern w:val="0"/>
              </w:rPr>
              <w:t>轿厢结构</w:t>
            </w:r>
            <w:r>
              <w:rPr>
                <w:rFonts w:hint="eastAsia" w:ascii="宋体"/>
                <w:bCs/>
                <w:kern w:val="0"/>
                <w:lang w:val="en-US" w:eastAsia="zh-CN"/>
              </w:rPr>
              <w:t>不</w:t>
            </w:r>
            <w:r>
              <w:rPr>
                <w:rFonts w:hint="eastAsia" w:ascii="宋体"/>
                <w:bCs/>
                <w:kern w:val="0"/>
              </w:rPr>
              <w:t>牢固、运行</w:t>
            </w:r>
            <w:r>
              <w:rPr>
                <w:rFonts w:hint="eastAsia" w:ascii="宋体"/>
                <w:bCs/>
                <w:kern w:val="0"/>
                <w:lang w:val="en-US" w:eastAsia="zh-CN"/>
              </w:rPr>
              <w:t>不</w:t>
            </w:r>
            <w:r>
              <w:rPr>
                <w:rFonts w:hint="eastAsia" w:ascii="宋体"/>
                <w:bCs/>
                <w:kern w:val="0"/>
              </w:rPr>
              <w:t>平稳，轿门关闭时</w:t>
            </w:r>
            <w:r>
              <w:rPr>
                <w:rFonts w:hint="eastAsia" w:ascii="宋体"/>
                <w:bCs/>
                <w:kern w:val="0"/>
                <w:lang w:val="en-US" w:eastAsia="zh-CN"/>
              </w:rPr>
              <w:t>有</w:t>
            </w:r>
            <w:r>
              <w:rPr>
                <w:rFonts w:hint="eastAsia" w:ascii="宋体"/>
                <w:bCs/>
                <w:kern w:val="0"/>
              </w:rPr>
              <w:t>撞击</w:t>
            </w:r>
            <w:r>
              <w:rPr>
                <w:rFonts w:hint="eastAsia" w:ascii="宋体"/>
                <w:kern w:val="0"/>
              </w:rPr>
              <w:t>，排气扇运行</w:t>
            </w:r>
            <w:r>
              <w:rPr>
                <w:rFonts w:hint="eastAsia" w:ascii="宋体"/>
                <w:kern w:val="0"/>
                <w:lang w:val="en-US" w:eastAsia="zh-CN"/>
              </w:rPr>
              <w:t>不</w:t>
            </w:r>
            <w:r>
              <w:rPr>
                <w:rFonts w:hint="eastAsia" w:ascii="宋体"/>
                <w:kern w:val="0"/>
              </w:rPr>
              <w:t>正常。</w:t>
            </w:r>
          </w:p>
          <w:p>
            <w:pPr>
              <w:spacing w:line="240" w:lineRule="exact"/>
              <w:rPr>
                <w:rFonts w:hint="eastAsia" w:ascii="宋体" w:hAnsi="宋体" w:eastAsia="宋体" w:cs="Times New Roman"/>
                <w:kern w:val="2"/>
                <w:sz w:val="21"/>
                <w:szCs w:val="22"/>
                <w:lang w:val="en-US" w:eastAsia="zh-CN" w:bidi="ar-SA"/>
              </w:rPr>
            </w:pPr>
          </w:p>
        </w:tc>
        <w:tc>
          <w:tcPr>
            <w:tcW w:w="3833" w:type="dxa"/>
            <w:vAlign w:val="center"/>
          </w:tcPr>
          <w:p>
            <w:pPr>
              <w:widowControl/>
              <w:numPr>
                <w:ilvl w:val="0"/>
                <w:numId w:val="0"/>
              </w:numPr>
              <w:spacing w:line="320" w:lineRule="exact"/>
              <w:ind w:leftChars="0"/>
              <w:jc w:val="left"/>
              <w:rPr>
                <w:rFonts w:hint="eastAsia" w:ascii="宋体"/>
                <w:kern w:val="0"/>
              </w:rPr>
            </w:pPr>
            <w:r>
              <w:rPr>
                <w:rFonts w:hint="eastAsia" w:ascii="宋体"/>
                <w:bCs/>
                <w:kern w:val="0"/>
              </w:rPr>
              <w:t>轿厢结构牢固可靠、运行平稳，轿门关闭时无撞击</w:t>
            </w:r>
            <w:r>
              <w:rPr>
                <w:rFonts w:hint="eastAsia" w:ascii="宋体"/>
                <w:kern w:val="0"/>
              </w:rPr>
              <w:t>，排气扇运行正常。</w:t>
            </w:r>
          </w:p>
          <w:p>
            <w:pPr>
              <w:spacing w:line="240" w:lineRule="exact"/>
              <w:rPr>
                <w:rFonts w:hint="eastAsia" w:ascii="宋体" w:hAnsi="宋体" w:eastAsia="宋体" w:cs="Times New Roman"/>
                <w:kern w:val="2"/>
                <w:sz w:val="21"/>
                <w:szCs w:val="22"/>
                <w:lang w:val="en-US" w:eastAsia="zh-CN" w:bidi="ar-SA"/>
              </w:rPr>
            </w:pP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83" w:type="dxa"/>
            <w:vMerge w:val="continue"/>
            <w:tcBorders/>
            <w:vAlign w:val="center"/>
          </w:tcPr>
          <w:p>
            <w:pPr>
              <w:pStyle w:val="11"/>
              <w:spacing w:line="240" w:lineRule="auto"/>
              <w:ind w:firstLine="0"/>
              <w:jc w:val="center"/>
              <w:rPr>
                <w:rFonts w:ascii="黑体" w:hAnsi="黑体" w:eastAsia="黑体" w:cs="黑体"/>
                <w:color w:val="auto"/>
                <w:sz w:val="24"/>
                <w:szCs w:val="24"/>
                <w:lang w:eastAsia="zh-CN"/>
              </w:rPr>
            </w:pPr>
          </w:p>
        </w:tc>
        <w:tc>
          <w:tcPr>
            <w:tcW w:w="1179" w:type="dxa"/>
            <w:vMerge w:val="continue"/>
            <w:tcBorders/>
            <w:vAlign w:val="center"/>
          </w:tcPr>
          <w:p>
            <w:pPr>
              <w:spacing w:line="300" w:lineRule="exact"/>
              <w:jc w:val="center"/>
              <w:rPr>
                <w:rFonts w:ascii="黑体" w:hAnsi="黑体" w:eastAsia="黑体" w:cs="黑体"/>
                <w:sz w:val="24"/>
                <w:szCs w:val="24"/>
              </w:rPr>
            </w:pPr>
          </w:p>
        </w:tc>
        <w:tc>
          <w:tcPr>
            <w:tcW w:w="3021" w:type="dxa"/>
            <w:vAlign w:val="center"/>
          </w:tcPr>
          <w:p>
            <w:pPr>
              <w:widowControl/>
              <w:numPr>
                <w:ilvl w:val="0"/>
                <w:numId w:val="0"/>
              </w:numPr>
              <w:spacing w:line="320" w:lineRule="exact"/>
              <w:ind w:leftChars="0"/>
              <w:jc w:val="left"/>
              <w:rPr>
                <w:rFonts w:hint="eastAsia" w:ascii="宋体"/>
                <w:kern w:val="0"/>
              </w:rPr>
            </w:pPr>
            <w:r>
              <w:rPr>
                <w:rFonts w:hint="eastAsia" w:ascii="宋体"/>
                <w:bCs/>
                <w:kern w:val="0"/>
              </w:rPr>
              <w:t>轿厢内</w:t>
            </w:r>
            <w:r>
              <w:rPr>
                <w:rFonts w:hint="eastAsia" w:ascii="宋体"/>
                <w:bCs/>
                <w:kern w:val="0"/>
                <w:lang w:val="en-US" w:eastAsia="zh-CN"/>
              </w:rPr>
              <w:t>未</w:t>
            </w:r>
            <w:r>
              <w:rPr>
                <w:rFonts w:hint="eastAsia" w:ascii="宋体"/>
                <w:bCs/>
                <w:kern w:val="0"/>
              </w:rPr>
              <w:t>设有与外界联系的通讯设施、报警系统和应急照明设施。</w:t>
            </w:r>
          </w:p>
          <w:p>
            <w:pPr>
              <w:spacing w:line="240" w:lineRule="exact"/>
              <w:rPr>
                <w:rFonts w:hint="eastAsia" w:ascii="宋体" w:hAnsi="宋体" w:eastAsia="宋体" w:cs="Times New Roman"/>
                <w:kern w:val="2"/>
                <w:sz w:val="21"/>
                <w:szCs w:val="22"/>
                <w:lang w:val="en-US" w:eastAsia="zh-CN" w:bidi="ar-SA"/>
              </w:rPr>
            </w:pPr>
          </w:p>
        </w:tc>
        <w:tc>
          <w:tcPr>
            <w:tcW w:w="3833" w:type="dxa"/>
            <w:vAlign w:val="center"/>
          </w:tcPr>
          <w:p>
            <w:pPr>
              <w:widowControl/>
              <w:numPr>
                <w:ilvl w:val="0"/>
                <w:numId w:val="0"/>
              </w:numPr>
              <w:spacing w:line="320" w:lineRule="exact"/>
              <w:ind w:leftChars="0"/>
              <w:jc w:val="left"/>
              <w:rPr>
                <w:rFonts w:hint="eastAsia" w:ascii="宋体"/>
                <w:kern w:val="0"/>
              </w:rPr>
            </w:pPr>
            <w:r>
              <w:rPr>
                <w:rFonts w:hint="eastAsia" w:ascii="宋体"/>
                <w:bCs/>
                <w:kern w:val="0"/>
              </w:rPr>
              <w:t>轿厢内应设有与外界联系的通讯设施、报警系统和应急照明设施。</w:t>
            </w:r>
          </w:p>
          <w:p>
            <w:pPr>
              <w:spacing w:line="240" w:lineRule="exact"/>
              <w:rPr>
                <w:rFonts w:hint="eastAsia" w:ascii="宋体" w:hAnsi="宋体" w:eastAsia="宋体" w:cs="Times New Roman"/>
                <w:kern w:val="2"/>
                <w:sz w:val="21"/>
                <w:szCs w:val="22"/>
                <w:lang w:val="en-US" w:eastAsia="zh-CN" w:bidi="ar-SA"/>
              </w:rPr>
            </w:pP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blHeader/>
        </w:trPr>
        <w:tc>
          <w:tcPr>
            <w:tcW w:w="583" w:type="dxa"/>
            <w:vMerge w:val="continue"/>
            <w:tcBorders/>
            <w:vAlign w:val="center"/>
          </w:tcPr>
          <w:p>
            <w:pPr>
              <w:pStyle w:val="11"/>
              <w:spacing w:line="240" w:lineRule="auto"/>
              <w:ind w:firstLine="0"/>
              <w:jc w:val="center"/>
              <w:rPr>
                <w:rFonts w:ascii="黑体" w:hAnsi="黑体" w:eastAsia="黑体" w:cs="黑体"/>
                <w:color w:val="auto"/>
                <w:sz w:val="24"/>
                <w:szCs w:val="24"/>
                <w:lang w:eastAsia="zh-CN"/>
              </w:rPr>
            </w:pPr>
          </w:p>
        </w:tc>
        <w:tc>
          <w:tcPr>
            <w:tcW w:w="1179" w:type="dxa"/>
            <w:vMerge w:val="continue"/>
            <w:tcBorders/>
            <w:vAlign w:val="center"/>
          </w:tcPr>
          <w:p>
            <w:pPr>
              <w:spacing w:line="300" w:lineRule="exact"/>
              <w:jc w:val="center"/>
              <w:rPr>
                <w:rFonts w:ascii="黑体" w:hAnsi="黑体" w:eastAsia="黑体" w:cs="黑体"/>
                <w:sz w:val="24"/>
                <w:szCs w:val="24"/>
              </w:rPr>
            </w:pPr>
          </w:p>
        </w:tc>
        <w:tc>
          <w:tcPr>
            <w:tcW w:w="3021" w:type="dxa"/>
            <w:vAlign w:val="center"/>
          </w:tcPr>
          <w:p>
            <w:pPr>
              <w:spacing w:line="240" w:lineRule="exact"/>
              <w:rPr>
                <w:rFonts w:hint="eastAsia" w:ascii="宋体" w:hAnsi="宋体" w:eastAsia="宋体" w:cs="Times New Roman"/>
                <w:kern w:val="2"/>
                <w:sz w:val="21"/>
                <w:szCs w:val="22"/>
                <w:lang w:val="en-US" w:eastAsia="zh-CN" w:bidi="ar-SA"/>
              </w:rPr>
            </w:pPr>
            <w:r>
              <w:rPr>
                <w:rFonts w:hint="eastAsia" w:ascii="宋体"/>
                <w:bCs/>
                <w:kern w:val="0"/>
              </w:rPr>
              <w:t>轿厢门开启</w:t>
            </w:r>
            <w:r>
              <w:rPr>
                <w:rFonts w:hint="eastAsia" w:ascii="宋体"/>
                <w:bCs/>
                <w:kern w:val="0"/>
                <w:lang w:val="en-US" w:eastAsia="zh-CN"/>
              </w:rPr>
              <w:t>不</w:t>
            </w:r>
            <w:r>
              <w:rPr>
                <w:rFonts w:hint="eastAsia" w:ascii="宋体"/>
                <w:bCs/>
                <w:kern w:val="0"/>
              </w:rPr>
              <w:t>灵敏，防夹人的安全装置</w:t>
            </w:r>
            <w:r>
              <w:rPr>
                <w:rFonts w:hint="eastAsia" w:ascii="宋体"/>
                <w:bCs/>
                <w:kern w:val="0"/>
                <w:lang w:val="en-US" w:eastAsia="zh-CN"/>
              </w:rPr>
              <w:t>无</w:t>
            </w:r>
            <w:r>
              <w:rPr>
                <w:rFonts w:hint="eastAsia" w:ascii="宋体"/>
                <w:bCs/>
                <w:kern w:val="0"/>
              </w:rPr>
              <w:t>效，间隙</w:t>
            </w:r>
            <w:r>
              <w:rPr>
                <w:rFonts w:hint="eastAsia" w:ascii="宋体"/>
                <w:bCs/>
                <w:kern w:val="0"/>
                <w:lang w:val="en-US" w:eastAsia="zh-CN"/>
              </w:rPr>
              <w:t>不</w:t>
            </w:r>
            <w:r>
              <w:rPr>
                <w:rFonts w:hint="eastAsia" w:ascii="宋体"/>
                <w:bCs/>
                <w:kern w:val="0"/>
              </w:rPr>
              <w:t>符合要求。</w:t>
            </w:r>
          </w:p>
        </w:tc>
        <w:tc>
          <w:tcPr>
            <w:tcW w:w="3833" w:type="dxa"/>
            <w:vAlign w:val="center"/>
          </w:tcPr>
          <w:p>
            <w:pPr>
              <w:spacing w:line="240" w:lineRule="exact"/>
              <w:rPr>
                <w:rFonts w:hint="eastAsia" w:ascii="宋体" w:hAnsi="宋体" w:eastAsia="宋体" w:cs="Times New Roman"/>
                <w:kern w:val="2"/>
                <w:sz w:val="21"/>
                <w:szCs w:val="22"/>
                <w:lang w:val="en-US" w:eastAsia="zh-CN" w:bidi="ar-SA"/>
              </w:rPr>
            </w:pPr>
            <w:r>
              <w:rPr>
                <w:rFonts w:hint="eastAsia" w:ascii="宋体"/>
                <w:bCs/>
                <w:kern w:val="0"/>
              </w:rPr>
              <w:t>轿厢门开启灵敏，防夹人的安全装置完好有效，间隙符合要求。</w:t>
            </w: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83" w:type="dxa"/>
            <w:vMerge w:val="restart"/>
            <w:vAlign w:val="center"/>
          </w:tcPr>
          <w:p>
            <w:pPr>
              <w:pStyle w:val="11"/>
              <w:spacing w:line="240" w:lineRule="auto"/>
              <w:ind w:firstLine="0"/>
              <w:jc w:val="center"/>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4</w:t>
            </w:r>
          </w:p>
        </w:tc>
        <w:tc>
          <w:tcPr>
            <w:tcW w:w="1179" w:type="dxa"/>
            <w:vMerge w:val="restart"/>
            <w:vAlign w:val="center"/>
          </w:tcPr>
          <w:p>
            <w:pPr>
              <w:spacing w:line="300" w:lineRule="exact"/>
              <w:jc w:val="center"/>
              <w:rPr>
                <w:rFonts w:hint="eastAsia" w:ascii="宋体" w:hAnsi="宋体" w:eastAsia="宋体" w:cs="Times New Roman"/>
                <w:kern w:val="2"/>
                <w:sz w:val="21"/>
                <w:szCs w:val="22"/>
                <w:lang w:val="en-US" w:eastAsia="zh-CN" w:bidi="ar-SA"/>
              </w:rPr>
            </w:pPr>
            <w:r>
              <w:rPr>
                <w:rFonts w:hint="eastAsia" w:ascii="宋体" w:hAnsi="宋体"/>
                <w:lang w:val="en-US" w:eastAsia="zh-CN"/>
              </w:rPr>
              <w:t>机房</w:t>
            </w:r>
          </w:p>
        </w:tc>
        <w:tc>
          <w:tcPr>
            <w:tcW w:w="3021" w:type="dxa"/>
            <w:vAlign w:val="center"/>
          </w:tcPr>
          <w:p>
            <w:pPr>
              <w:numPr>
                <w:ilvl w:val="0"/>
                <w:numId w:val="0"/>
              </w:numPr>
              <w:spacing w:line="320" w:lineRule="exact"/>
              <w:ind w:leftChars="0"/>
              <w:rPr>
                <w:rFonts w:hint="eastAsia" w:ascii="宋体"/>
              </w:rPr>
            </w:pPr>
            <w:r>
              <w:rPr>
                <w:rFonts w:hint="eastAsia" w:ascii="宋体"/>
              </w:rPr>
              <w:t>机房内</w:t>
            </w:r>
            <w:r>
              <w:rPr>
                <w:rFonts w:hint="eastAsia" w:ascii="宋体"/>
                <w:lang w:val="en-US" w:eastAsia="zh-CN"/>
              </w:rPr>
              <w:t>未</w:t>
            </w:r>
            <w:r>
              <w:rPr>
                <w:rFonts w:hint="eastAsia" w:ascii="宋体"/>
              </w:rPr>
              <w:t>通风、屏护</w:t>
            </w:r>
            <w:r>
              <w:rPr>
                <w:rFonts w:hint="eastAsia" w:ascii="宋体"/>
                <w:lang w:val="en-US" w:eastAsia="zh-CN"/>
              </w:rPr>
              <w:t>不</w:t>
            </w:r>
            <w:r>
              <w:rPr>
                <w:rFonts w:hint="eastAsia" w:ascii="宋体"/>
              </w:rPr>
              <w:t>好，</w:t>
            </w:r>
            <w:r>
              <w:rPr>
                <w:rFonts w:hint="eastAsia" w:ascii="宋体"/>
                <w:lang w:val="en-US" w:eastAsia="zh-CN"/>
              </w:rPr>
              <w:t>杂乱</w:t>
            </w:r>
            <w:r>
              <w:rPr>
                <w:rFonts w:hint="eastAsia" w:ascii="宋体"/>
              </w:rPr>
              <w:t>、</w:t>
            </w:r>
            <w:r>
              <w:rPr>
                <w:rFonts w:hint="eastAsia" w:ascii="宋体"/>
                <w:lang w:val="en-US" w:eastAsia="zh-CN"/>
              </w:rPr>
              <w:t>有</w:t>
            </w:r>
            <w:r>
              <w:rPr>
                <w:rFonts w:hint="eastAsia" w:ascii="宋体"/>
              </w:rPr>
              <w:t>杂物；</w:t>
            </w:r>
            <w:r>
              <w:rPr>
                <w:rFonts w:hint="eastAsia" w:ascii="宋体"/>
                <w:lang w:val="en-US" w:eastAsia="zh-CN"/>
              </w:rPr>
              <w:t>未</w:t>
            </w:r>
            <w:r>
              <w:rPr>
                <w:rFonts w:hint="eastAsia" w:ascii="宋体"/>
              </w:rPr>
              <w:t>配置合适的消防设施、固定照明和电源插座。</w:t>
            </w:r>
          </w:p>
          <w:p>
            <w:pPr>
              <w:spacing w:line="240" w:lineRule="exact"/>
              <w:rPr>
                <w:rFonts w:hint="eastAsia" w:ascii="宋体" w:hAnsi="宋体" w:eastAsia="宋体" w:cs="Times New Roman"/>
                <w:kern w:val="2"/>
                <w:sz w:val="21"/>
                <w:szCs w:val="22"/>
                <w:lang w:val="en-US" w:eastAsia="zh-CN" w:bidi="ar-SA"/>
              </w:rPr>
            </w:pPr>
          </w:p>
        </w:tc>
        <w:tc>
          <w:tcPr>
            <w:tcW w:w="3833" w:type="dxa"/>
            <w:vAlign w:val="center"/>
          </w:tcPr>
          <w:p>
            <w:pPr>
              <w:numPr>
                <w:ilvl w:val="0"/>
                <w:numId w:val="0"/>
              </w:numPr>
              <w:spacing w:line="320" w:lineRule="exact"/>
              <w:ind w:leftChars="0"/>
              <w:rPr>
                <w:rFonts w:hint="eastAsia" w:ascii="宋体"/>
              </w:rPr>
            </w:pPr>
            <w:r>
              <w:rPr>
                <w:rFonts w:hint="eastAsia" w:ascii="宋体"/>
              </w:rPr>
              <w:t>机房内应通风、屏护良好，且清洁、无杂物；并应配置合适的消防设施、固定照明和电源插座。</w:t>
            </w:r>
          </w:p>
          <w:p>
            <w:pPr>
              <w:spacing w:line="240" w:lineRule="exact"/>
              <w:rPr>
                <w:rFonts w:hint="eastAsia" w:ascii="宋体" w:hAnsi="宋体" w:eastAsia="宋体" w:cs="Times New Roman"/>
                <w:kern w:val="2"/>
                <w:sz w:val="21"/>
                <w:szCs w:val="22"/>
                <w:lang w:val="en-US" w:eastAsia="zh-CN" w:bidi="ar-SA"/>
              </w:rPr>
            </w:pP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83" w:type="dxa"/>
            <w:vMerge w:val="continue"/>
            <w:tcBorders/>
            <w:vAlign w:val="center"/>
          </w:tcPr>
          <w:p>
            <w:pPr>
              <w:pStyle w:val="11"/>
              <w:spacing w:line="240" w:lineRule="auto"/>
              <w:ind w:firstLine="0"/>
              <w:jc w:val="center"/>
              <w:rPr>
                <w:rFonts w:ascii="黑体" w:hAnsi="黑体" w:eastAsia="黑体" w:cs="黑体"/>
                <w:color w:val="auto"/>
                <w:sz w:val="24"/>
                <w:szCs w:val="24"/>
                <w:lang w:eastAsia="zh-CN"/>
              </w:rPr>
            </w:pPr>
          </w:p>
        </w:tc>
        <w:tc>
          <w:tcPr>
            <w:tcW w:w="1179" w:type="dxa"/>
            <w:vMerge w:val="continue"/>
            <w:tcBorders/>
            <w:vAlign w:val="center"/>
          </w:tcPr>
          <w:p>
            <w:pPr>
              <w:spacing w:line="300" w:lineRule="exact"/>
              <w:jc w:val="center"/>
              <w:rPr>
                <w:rFonts w:ascii="黑体" w:hAnsi="黑体" w:eastAsia="黑体" w:cs="黑体"/>
                <w:sz w:val="24"/>
                <w:szCs w:val="24"/>
              </w:rPr>
            </w:pPr>
          </w:p>
        </w:tc>
        <w:tc>
          <w:tcPr>
            <w:tcW w:w="3021" w:type="dxa"/>
            <w:vAlign w:val="center"/>
          </w:tcPr>
          <w:p>
            <w:pPr>
              <w:numPr>
                <w:ilvl w:val="0"/>
                <w:numId w:val="0"/>
              </w:numPr>
              <w:spacing w:line="320" w:lineRule="exact"/>
              <w:ind w:leftChars="0"/>
              <w:rPr>
                <w:rFonts w:hint="eastAsia" w:ascii="宋体"/>
              </w:rPr>
            </w:pPr>
            <w:r>
              <w:rPr>
                <w:rFonts w:hint="eastAsia" w:ascii="宋体"/>
                <w:bCs/>
              </w:rPr>
              <w:t>房门</w:t>
            </w:r>
            <w:r>
              <w:rPr>
                <w:rFonts w:hint="eastAsia" w:ascii="宋体"/>
                <w:bCs/>
                <w:lang w:val="en-US" w:eastAsia="zh-CN"/>
              </w:rPr>
              <w:t>未</w:t>
            </w:r>
            <w:r>
              <w:rPr>
                <w:rFonts w:hint="eastAsia" w:ascii="宋体"/>
                <w:bCs/>
              </w:rPr>
              <w:t>上锁，</w:t>
            </w:r>
            <w:r>
              <w:rPr>
                <w:rFonts w:hint="eastAsia" w:ascii="宋体"/>
              </w:rPr>
              <w:t>通向机房、滑轮间和底坑的通道</w:t>
            </w:r>
            <w:r>
              <w:rPr>
                <w:rFonts w:hint="eastAsia" w:ascii="宋体"/>
                <w:lang w:val="en-US" w:eastAsia="zh-CN"/>
              </w:rPr>
              <w:t>不</w:t>
            </w:r>
            <w:r>
              <w:rPr>
                <w:rFonts w:hint="eastAsia" w:ascii="宋体"/>
              </w:rPr>
              <w:t>畅通，</w:t>
            </w:r>
            <w:r>
              <w:rPr>
                <w:rFonts w:hint="eastAsia" w:ascii="宋体"/>
                <w:lang w:val="en-US" w:eastAsia="zh-CN"/>
              </w:rPr>
              <w:t>没</w:t>
            </w:r>
            <w:r>
              <w:rPr>
                <w:rFonts w:hint="eastAsia" w:ascii="宋体"/>
              </w:rPr>
              <w:t>有永久性照明。</w:t>
            </w:r>
          </w:p>
          <w:p>
            <w:pPr>
              <w:spacing w:line="240" w:lineRule="exact"/>
              <w:rPr>
                <w:rFonts w:hint="eastAsia" w:ascii="宋体" w:hAnsi="宋体" w:eastAsia="宋体" w:cs="Times New Roman"/>
                <w:kern w:val="2"/>
                <w:sz w:val="21"/>
                <w:szCs w:val="22"/>
                <w:lang w:val="en-US" w:eastAsia="zh-CN" w:bidi="ar-SA"/>
              </w:rPr>
            </w:pPr>
          </w:p>
        </w:tc>
        <w:tc>
          <w:tcPr>
            <w:tcW w:w="3833" w:type="dxa"/>
            <w:vAlign w:val="center"/>
          </w:tcPr>
          <w:p>
            <w:pPr>
              <w:numPr>
                <w:ilvl w:val="0"/>
                <w:numId w:val="0"/>
              </w:numPr>
              <w:spacing w:line="320" w:lineRule="exact"/>
              <w:ind w:leftChars="0"/>
              <w:rPr>
                <w:rFonts w:hint="eastAsia" w:ascii="宋体"/>
              </w:rPr>
            </w:pPr>
            <w:r>
              <w:rPr>
                <w:rFonts w:hint="eastAsia" w:ascii="宋体"/>
                <w:bCs/>
              </w:rPr>
              <w:t>房门应上锁，</w:t>
            </w:r>
            <w:r>
              <w:rPr>
                <w:rFonts w:hint="eastAsia" w:ascii="宋体"/>
              </w:rPr>
              <w:t>通向机房、滑轮间和底坑的通道应畅通，且应有永久性照明。</w:t>
            </w:r>
          </w:p>
          <w:p>
            <w:pPr>
              <w:spacing w:line="240" w:lineRule="exact"/>
              <w:rPr>
                <w:rFonts w:hint="eastAsia" w:ascii="宋体" w:hAnsi="宋体" w:eastAsia="宋体" w:cs="Times New Roman"/>
                <w:kern w:val="2"/>
                <w:sz w:val="21"/>
                <w:szCs w:val="22"/>
                <w:lang w:val="en-US" w:eastAsia="zh-CN" w:bidi="ar-SA"/>
              </w:rPr>
            </w:pP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83" w:type="dxa"/>
            <w:vMerge w:val="continue"/>
            <w:tcBorders/>
            <w:vAlign w:val="center"/>
          </w:tcPr>
          <w:p>
            <w:pPr>
              <w:pStyle w:val="11"/>
              <w:spacing w:line="240" w:lineRule="auto"/>
              <w:ind w:firstLine="0"/>
              <w:jc w:val="center"/>
              <w:rPr>
                <w:rFonts w:ascii="黑体" w:hAnsi="黑体" w:eastAsia="黑体" w:cs="黑体"/>
                <w:color w:val="auto"/>
                <w:sz w:val="24"/>
                <w:szCs w:val="24"/>
                <w:lang w:eastAsia="zh-CN"/>
              </w:rPr>
            </w:pPr>
          </w:p>
        </w:tc>
        <w:tc>
          <w:tcPr>
            <w:tcW w:w="1179" w:type="dxa"/>
            <w:vMerge w:val="continue"/>
            <w:tcBorders/>
            <w:vAlign w:val="center"/>
          </w:tcPr>
          <w:p>
            <w:pPr>
              <w:spacing w:line="300" w:lineRule="exact"/>
              <w:jc w:val="center"/>
              <w:rPr>
                <w:rFonts w:ascii="黑体" w:hAnsi="黑体" w:eastAsia="黑体" w:cs="黑体"/>
                <w:sz w:val="24"/>
                <w:szCs w:val="24"/>
              </w:rPr>
            </w:pPr>
          </w:p>
        </w:tc>
        <w:tc>
          <w:tcPr>
            <w:tcW w:w="3021" w:type="dxa"/>
            <w:vAlign w:val="center"/>
          </w:tcPr>
          <w:p>
            <w:pPr>
              <w:numPr>
                <w:ilvl w:val="0"/>
                <w:numId w:val="0"/>
              </w:numPr>
              <w:spacing w:line="320" w:lineRule="exact"/>
              <w:ind w:leftChars="0"/>
              <w:rPr>
                <w:rFonts w:hint="eastAsia" w:ascii="宋体"/>
              </w:rPr>
            </w:pPr>
            <w:r>
              <w:rPr>
                <w:rFonts w:hint="eastAsia" w:ascii="宋体"/>
              </w:rPr>
              <w:t>控制柜(屏)的前面和需要检查、修理等人员操作的部件前面</w:t>
            </w:r>
            <w:r>
              <w:rPr>
                <w:rFonts w:hint="eastAsia" w:ascii="宋体"/>
                <w:lang w:val="en-US" w:eastAsia="zh-CN"/>
              </w:rPr>
              <w:t>未</w:t>
            </w:r>
            <w:r>
              <w:rPr>
                <w:rFonts w:hint="eastAsia" w:ascii="宋体"/>
              </w:rPr>
              <w:t>留有不小于0.6m×0.5m的空间。</w:t>
            </w:r>
          </w:p>
          <w:p>
            <w:pPr>
              <w:spacing w:line="240" w:lineRule="exact"/>
              <w:rPr>
                <w:rFonts w:hint="eastAsia" w:ascii="宋体" w:hAnsi="宋体" w:eastAsia="宋体" w:cs="Times New Roman"/>
                <w:kern w:val="2"/>
                <w:sz w:val="21"/>
                <w:szCs w:val="22"/>
                <w:lang w:val="en-US" w:eastAsia="zh-CN" w:bidi="ar-SA"/>
              </w:rPr>
            </w:pPr>
          </w:p>
        </w:tc>
        <w:tc>
          <w:tcPr>
            <w:tcW w:w="3833" w:type="dxa"/>
            <w:vAlign w:val="center"/>
          </w:tcPr>
          <w:p>
            <w:pPr>
              <w:numPr>
                <w:ilvl w:val="0"/>
                <w:numId w:val="0"/>
              </w:numPr>
              <w:spacing w:line="320" w:lineRule="exact"/>
              <w:ind w:leftChars="0"/>
              <w:rPr>
                <w:rFonts w:hint="eastAsia" w:ascii="宋体"/>
              </w:rPr>
            </w:pPr>
            <w:r>
              <w:rPr>
                <w:rFonts w:hint="eastAsia" w:ascii="宋体"/>
              </w:rPr>
              <w:t>控制柜(屏)的前面和需要检查、修理等人员操作的部件前面应留有不小于0.6m×0.5m的空间。</w:t>
            </w:r>
          </w:p>
          <w:p>
            <w:pPr>
              <w:spacing w:line="240" w:lineRule="exact"/>
              <w:rPr>
                <w:rFonts w:hint="eastAsia" w:ascii="宋体" w:hAnsi="宋体" w:eastAsia="宋体" w:cs="Times New Roman"/>
                <w:kern w:val="2"/>
                <w:sz w:val="21"/>
                <w:szCs w:val="22"/>
                <w:lang w:val="en-US" w:eastAsia="zh-CN" w:bidi="ar-SA"/>
              </w:rPr>
            </w:pP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blHeader/>
        </w:trPr>
        <w:tc>
          <w:tcPr>
            <w:tcW w:w="583" w:type="dxa"/>
            <w:vAlign w:val="center"/>
          </w:tcPr>
          <w:p>
            <w:pPr>
              <w:pStyle w:val="11"/>
              <w:spacing w:line="240" w:lineRule="auto"/>
              <w:ind w:firstLine="0"/>
              <w:jc w:val="center"/>
              <w:rPr>
                <w:rFonts w:ascii="黑体" w:hAnsi="黑体" w:eastAsia="黑体" w:cs="黑体"/>
                <w:color w:val="auto"/>
                <w:sz w:val="24"/>
                <w:szCs w:val="24"/>
                <w:lang w:eastAsia="zh-CN"/>
              </w:rPr>
            </w:pPr>
          </w:p>
        </w:tc>
        <w:tc>
          <w:tcPr>
            <w:tcW w:w="1179" w:type="dxa"/>
            <w:vAlign w:val="center"/>
          </w:tcPr>
          <w:p>
            <w:pPr>
              <w:spacing w:line="300" w:lineRule="exact"/>
              <w:jc w:val="center"/>
              <w:rPr>
                <w:rFonts w:ascii="黑体" w:hAnsi="黑体" w:eastAsia="黑体" w:cs="黑体"/>
                <w:sz w:val="24"/>
                <w:szCs w:val="24"/>
              </w:rPr>
            </w:pPr>
          </w:p>
        </w:tc>
        <w:tc>
          <w:tcPr>
            <w:tcW w:w="3021" w:type="dxa"/>
            <w:vAlign w:val="center"/>
          </w:tcPr>
          <w:p>
            <w:pPr>
              <w:numPr>
                <w:ilvl w:val="0"/>
                <w:numId w:val="0"/>
              </w:numPr>
              <w:spacing w:line="320" w:lineRule="exact"/>
              <w:ind w:leftChars="0"/>
              <w:rPr>
                <w:rFonts w:hint="eastAsia" w:ascii="宋体"/>
              </w:rPr>
            </w:pPr>
            <w:r>
              <w:rPr>
                <w:rFonts w:hint="eastAsia" w:ascii="宋体"/>
              </w:rPr>
              <w:t>对额定速度不大于2.5m/s的电梯，机房内钢丝绳与楼板孔洞每边间隙均应为20～40mm；对额定速度大于2.5m/s的电梯，运行中的钢丝绳与楼板不应有摩擦的可能。通向井道的孔洞四周</w:t>
            </w:r>
            <w:r>
              <w:rPr>
                <w:rFonts w:hint="eastAsia" w:ascii="宋体"/>
                <w:lang w:val="en-US" w:eastAsia="zh-CN"/>
              </w:rPr>
              <w:t>未</w:t>
            </w:r>
            <w:bookmarkStart w:id="3" w:name="_GoBack"/>
            <w:bookmarkEnd w:id="3"/>
            <w:r>
              <w:rPr>
                <w:rFonts w:hint="eastAsia" w:ascii="宋体"/>
              </w:rPr>
              <w:t>筑有高50mm以上的台阶。</w:t>
            </w:r>
          </w:p>
          <w:p>
            <w:pPr>
              <w:spacing w:line="240" w:lineRule="exact"/>
              <w:rPr>
                <w:rFonts w:hint="eastAsia" w:ascii="宋体" w:hAnsi="宋体" w:eastAsia="宋体" w:cs="Times New Roman"/>
                <w:kern w:val="2"/>
                <w:sz w:val="21"/>
                <w:szCs w:val="22"/>
                <w:lang w:val="en-US" w:eastAsia="zh-CN" w:bidi="ar-SA"/>
              </w:rPr>
            </w:pPr>
          </w:p>
        </w:tc>
        <w:tc>
          <w:tcPr>
            <w:tcW w:w="3833" w:type="dxa"/>
            <w:vAlign w:val="center"/>
          </w:tcPr>
          <w:p>
            <w:pPr>
              <w:numPr>
                <w:ilvl w:val="0"/>
                <w:numId w:val="0"/>
              </w:numPr>
              <w:spacing w:line="320" w:lineRule="exact"/>
              <w:ind w:leftChars="0"/>
              <w:rPr>
                <w:rFonts w:hint="eastAsia" w:ascii="宋体"/>
              </w:rPr>
            </w:pPr>
            <w:r>
              <w:rPr>
                <w:rFonts w:hint="eastAsia" w:ascii="宋体"/>
              </w:rPr>
              <w:t>对额定速度不大于2.5m/s的电梯，机房内钢丝绳与楼板孔洞每边间隙均应为20～40mm；对额定速度大于2.5m/s的电梯，运行中的钢丝绳与楼板不应有摩擦的可能。通向井道的孔洞四周应筑有高50mm以上的台阶。</w:t>
            </w:r>
          </w:p>
          <w:p>
            <w:pPr>
              <w:spacing w:line="240" w:lineRule="exact"/>
              <w:rPr>
                <w:rFonts w:hint="eastAsia" w:ascii="宋体" w:hAnsi="宋体" w:eastAsia="宋体" w:cs="Times New Roman"/>
                <w:kern w:val="2"/>
                <w:sz w:val="21"/>
                <w:szCs w:val="22"/>
                <w:lang w:val="en-US" w:eastAsia="zh-CN" w:bidi="ar-SA"/>
              </w:rPr>
            </w:pP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blHeader/>
        </w:trPr>
        <w:tc>
          <w:tcPr>
            <w:tcW w:w="583" w:type="dxa"/>
            <w:vAlign w:val="center"/>
          </w:tcPr>
          <w:p>
            <w:pPr>
              <w:pStyle w:val="11"/>
              <w:spacing w:line="240" w:lineRule="auto"/>
              <w:ind w:firstLine="0"/>
              <w:jc w:val="center"/>
              <w:rPr>
                <w:rFonts w:ascii="黑体" w:hAnsi="黑体" w:eastAsia="黑体" w:cs="黑体"/>
                <w:color w:val="auto"/>
                <w:sz w:val="24"/>
                <w:szCs w:val="24"/>
                <w:lang w:eastAsia="zh-CN"/>
              </w:rPr>
            </w:pPr>
          </w:p>
        </w:tc>
        <w:tc>
          <w:tcPr>
            <w:tcW w:w="1179" w:type="dxa"/>
            <w:vAlign w:val="center"/>
          </w:tcPr>
          <w:p>
            <w:pPr>
              <w:spacing w:line="300" w:lineRule="exact"/>
              <w:jc w:val="center"/>
              <w:rPr>
                <w:rFonts w:ascii="黑体" w:hAnsi="黑体" w:eastAsia="黑体" w:cs="黑体"/>
                <w:sz w:val="24"/>
                <w:szCs w:val="24"/>
              </w:rPr>
            </w:pPr>
          </w:p>
        </w:tc>
        <w:tc>
          <w:tcPr>
            <w:tcW w:w="3021" w:type="dxa"/>
            <w:vAlign w:val="center"/>
          </w:tcPr>
          <w:p>
            <w:pPr>
              <w:spacing w:line="240" w:lineRule="exact"/>
              <w:rPr>
                <w:rFonts w:hint="eastAsia" w:ascii="宋体" w:hAnsi="宋体" w:eastAsia="宋体" w:cs="Times New Roman"/>
                <w:kern w:val="2"/>
                <w:sz w:val="21"/>
                <w:szCs w:val="22"/>
                <w:lang w:val="en-US" w:eastAsia="zh-CN" w:bidi="ar-SA"/>
              </w:rPr>
            </w:pPr>
            <w:r>
              <w:rPr>
                <w:rFonts w:hint="eastAsia" w:ascii="宋体"/>
              </w:rPr>
              <w:t>机房中每台电梯</w:t>
            </w:r>
            <w:r>
              <w:rPr>
                <w:rFonts w:hint="eastAsia" w:ascii="宋体"/>
                <w:lang w:val="en-US" w:eastAsia="zh-CN"/>
              </w:rPr>
              <w:t>未</w:t>
            </w:r>
            <w:r>
              <w:rPr>
                <w:rFonts w:hint="eastAsia" w:ascii="宋体"/>
              </w:rPr>
              <w:t>单独装设主电源开关，</w:t>
            </w:r>
            <w:r>
              <w:rPr>
                <w:rFonts w:hint="eastAsia" w:ascii="宋体"/>
                <w:lang w:val="en-US" w:eastAsia="zh-CN"/>
              </w:rPr>
              <w:t>未</w:t>
            </w:r>
            <w:r>
              <w:rPr>
                <w:rFonts w:hint="eastAsia" w:ascii="宋体"/>
              </w:rPr>
              <w:t>有易于识别的标志（应与曳引机和控制柜相对应）。该开关位置</w:t>
            </w:r>
            <w:r>
              <w:rPr>
                <w:rFonts w:hint="eastAsia" w:ascii="宋体"/>
                <w:lang w:val="en-US" w:eastAsia="zh-CN"/>
              </w:rPr>
              <w:t>不</w:t>
            </w:r>
            <w:r>
              <w:rPr>
                <w:rFonts w:hint="eastAsia" w:ascii="宋体"/>
              </w:rPr>
              <w:t>能从机房入口处迅速开启或关闭。</w:t>
            </w:r>
          </w:p>
        </w:tc>
        <w:tc>
          <w:tcPr>
            <w:tcW w:w="3833" w:type="dxa"/>
            <w:vAlign w:val="center"/>
          </w:tcPr>
          <w:p>
            <w:pPr>
              <w:spacing w:line="240" w:lineRule="exact"/>
              <w:rPr>
                <w:rFonts w:hint="eastAsia" w:ascii="宋体" w:hAnsi="宋体" w:eastAsia="宋体" w:cs="Times New Roman"/>
                <w:kern w:val="2"/>
                <w:sz w:val="21"/>
                <w:szCs w:val="22"/>
                <w:lang w:val="en-US" w:eastAsia="zh-CN" w:bidi="ar-SA"/>
              </w:rPr>
            </w:pPr>
            <w:r>
              <w:rPr>
                <w:rFonts w:hint="eastAsia" w:ascii="宋体"/>
              </w:rPr>
              <w:t>机房中每台电梯应单独装设主电源开关，并有易于识别的标志（应与曳引机和控制柜相对应）。该开关位置应能从机房入口处迅速开启或关闭。</w:t>
            </w: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83" w:type="dxa"/>
            <w:vAlign w:val="center"/>
          </w:tcPr>
          <w:p>
            <w:pPr>
              <w:pStyle w:val="11"/>
              <w:spacing w:line="240" w:lineRule="auto"/>
              <w:ind w:firstLine="0"/>
              <w:jc w:val="center"/>
              <w:rPr>
                <w:rFonts w:ascii="黑体" w:hAnsi="黑体" w:eastAsia="黑体" w:cs="黑体"/>
                <w:color w:val="auto"/>
                <w:sz w:val="24"/>
                <w:szCs w:val="24"/>
                <w:lang w:eastAsia="zh-CN"/>
              </w:rPr>
            </w:pPr>
          </w:p>
        </w:tc>
        <w:tc>
          <w:tcPr>
            <w:tcW w:w="1179" w:type="dxa"/>
            <w:vAlign w:val="center"/>
          </w:tcPr>
          <w:p>
            <w:pPr>
              <w:spacing w:line="300" w:lineRule="exact"/>
              <w:jc w:val="center"/>
              <w:rPr>
                <w:rFonts w:ascii="黑体" w:hAnsi="黑体" w:eastAsia="黑体" w:cs="黑体"/>
                <w:sz w:val="24"/>
                <w:szCs w:val="24"/>
              </w:rPr>
            </w:pPr>
          </w:p>
        </w:tc>
        <w:tc>
          <w:tcPr>
            <w:tcW w:w="3021" w:type="dxa"/>
            <w:vAlign w:val="center"/>
          </w:tcPr>
          <w:p>
            <w:pPr>
              <w:spacing w:line="240" w:lineRule="exact"/>
              <w:ind w:left="315" w:hanging="315" w:hangingChars="150"/>
              <w:jc w:val="center"/>
              <w:rPr>
                <w:rFonts w:hint="eastAsia" w:ascii="宋体" w:hAnsi="宋体"/>
              </w:rPr>
            </w:pPr>
          </w:p>
        </w:tc>
        <w:tc>
          <w:tcPr>
            <w:tcW w:w="3833" w:type="dxa"/>
            <w:vAlign w:val="center"/>
          </w:tcPr>
          <w:p>
            <w:pPr>
              <w:spacing w:line="240" w:lineRule="exact"/>
              <w:ind w:left="315" w:hanging="315" w:hangingChars="150"/>
              <w:jc w:val="center"/>
              <w:rPr>
                <w:rFonts w:hint="eastAsia" w:ascii="宋体" w:hAnsi="宋体"/>
              </w:rPr>
            </w:pPr>
          </w:p>
        </w:tc>
        <w:tc>
          <w:tcPr>
            <w:tcW w:w="5052" w:type="dxa"/>
            <w:vAlign w:val="center"/>
          </w:tcPr>
          <w:p>
            <w:pPr>
              <w:pStyle w:val="11"/>
              <w:spacing w:line="240" w:lineRule="auto"/>
              <w:ind w:firstLine="0"/>
              <w:jc w:val="center"/>
              <w:rPr>
                <w:rFonts w:hint="eastAsia" w:ascii="黑体" w:hAnsi="黑体" w:eastAsia="黑体" w:cs="黑体"/>
                <w:color w:val="auto"/>
                <w:sz w:val="24"/>
                <w:szCs w:val="24"/>
                <w:lang w:val="en-US" w:eastAsia="zh-CN"/>
              </w:rPr>
            </w:pPr>
          </w:p>
        </w:tc>
        <w:tc>
          <w:tcPr>
            <w:tcW w:w="816" w:type="dxa"/>
            <w:vAlign w:val="center"/>
          </w:tcPr>
          <w:p>
            <w:pPr>
              <w:pStyle w:val="11"/>
              <w:spacing w:line="240" w:lineRule="auto"/>
              <w:ind w:firstLine="0"/>
              <w:jc w:val="center"/>
              <w:rPr>
                <w:rFonts w:ascii="黑体" w:hAnsi="黑体" w:eastAsia="黑体" w:cs="黑体"/>
                <w:color w:val="auto"/>
                <w:sz w:val="24"/>
                <w:szCs w:val="24"/>
                <w:lang w:eastAsia="zh-CN"/>
              </w:rPr>
            </w:pPr>
          </w:p>
        </w:tc>
      </w:tr>
    </w:tbl>
    <w:p>
      <w:pPr>
        <w:pStyle w:val="10"/>
        <w:rPr>
          <w:color w:val="auto"/>
          <w:sz w:val="24"/>
          <w:szCs w:val="24"/>
        </w:rPr>
      </w:pPr>
    </w:p>
    <w:p/>
    <w:p>
      <w:pPr>
        <w:spacing w:line="320" w:lineRule="exact"/>
        <w:rPr>
          <w:rFonts w:ascii="黑体" w:hAnsi="宋体" w:eastAsia="黑体"/>
        </w:rPr>
      </w:pPr>
      <w:r>
        <w:rPr>
          <w:rFonts w:hint="eastAsia" w:ascii="黑体" w:hAnsi="宋体" w:eastAsia="黑体"/>
        </w:rPr>
        <w:t xml:space="preserve">                   </w:t>
      </w:r>
    </w:p>
    <w:p>
      <w:pPr>
        <w:wordWrap w:val="0"/>
        <w:spacing w:line="300" w:lineRule="exact"/>
        <w:ind w:right="525"/>
        <w:rPr>
          <w:rFonts w:ascii="黑体" w:hAnsi="宋体" w:eastAsia="黑体"/>
          <w:b/>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1A696209"/>
    <w:rsid w:val="002911BC"/>
    <w:rsid w:val="007F1EC7"/>
    <w:rsid w:val="00DC707D"/>
    <w:rsid w:val="073E2397"/>
    <w:rsid w:val="1A696209"/>
    <w:rsid w:val="5CF54163"/>
    <w:rsid w:val="681E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9"/>
    <w:qFormat/>
    <w:uiPriority w:val="0"/>
    <w:pPr>
      <w:keepNext/>
      <w:keepLines/>
      <w:spacing w:before="340" w:after="330" w:line="576" w:lineRule="auto"/>
      <w:outlineLvl w:val="0"/>
    </w:pPr>
    <w:rPr>
      <w:b/>
      <w:kern w:val="44"/>
      <w:sz w:val="44"/>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Heading #1|1"/>
    <w:basedOn w:val="1"/>
    <w:qFormat/>
    <w:uiPriority w:val="0"/>
    <w:pPr>
      <w:spacing w:after="360"/>
      <w:jc w:val="center"/>
      <w:outlineLvl w:val="0"/>
    </w:pPr>
    <w:rPr>
      <w:rFonts w:ascii="宋体" w:hAnsi="宋体" w:cs="宋体"/>
      <w:sz w:val="38"/>
      <w:szCs w:val="38"/>
      <w:lang w:val="zh-TW" w:eastAsia="zh-TW" w:bidi="zh-TW"/>
    </w:rPr>
  </w:style>
  <w:style w:type="character" w:customStyle="1" w:styleId="9">
    <w:name w:val="标题 1 字符"/>
    <w:link w:val="2"/>
    <w:uiPriority w:val="0"/>
    <w:rPr>
      <w:b/>
      <w:kern w:val="44"/>
      <w:sz w:val="44"/>
    </w:rPr>
  </w:style>
  <w:style w:type="paragraph" w:customStyle="1" w:styleId="10">
    <w:name w:val="Table caption|1"/>
    <w:basedOn w:val="1"/>
    <w:qFormat/>
    <w:uiPriority w:val="0"/>
    <w:pPr>
      <w:spacing w:line="307" w:lineRule="exact"/>
    </w:pPr>
    <w:rPr>
      <w:rFonts w:ascii="宋体" w:hAnsi="宋体" w:cs="宋体"/>
      <w:color w:val="232323"/>
      <w:sz w:val="22"/>
      <w:lang w:val="zh-TW" w:eastAsia="zh-TW" w:bidi="zh-TW"/>
    </w:rPr>
  </w:style>
  <w:style w:type="paragraph" w:customStyle="1" w:styleId="11">
    <w:name w:val="Other|1"/>
    <w:basedOn w:val="1"/>
    <w:qFormat/>
    <w:uiPriority w:val="0"/>
    <w:pPr>
      <w:spacing w:line="456" w:lineRule="auto"/>
      <w:ind w:firstLine="400"/>
    </w:pPr>
    <w:rPr>
      <w:rFonts w:ascii="宋体" w:hAnsi="宋体" w:cs="宋体"/>
      <w:color w:val="232323"/>
      <w:sz w:val="28"/>
      <w:szCs w:val="28"/>
      <w:lang w:val="zh-TW" w:eastAsia="zh-TW" w:bidi="zh-TW"/>
    </w:rPr>
  </w:style>
  <w:style w:type="character" w:customStyle="1" w:styleId="12">
    <w:name w:val="页眉 字符"/>
    <w:basedOn w:val="7"/>
    <w:link w:val="4"/>
    <w:qFormat/>
    <w:uiPriority w:val="0"/>
    <w:rPr>
      <w:rFonts w:ascii="Calibri" w:hAnsi="Calibri" w:eastAsia="宋体" w:cs="Times New Roman"/>
      <w:kern w:val="2"/>
      <w:sz w:val="18"/>
      <w:szCs w:val="18"/>
    </w:rPr>
  </w:style>
  <w:style w:type="character" w:customStyle="1" w:styleId="13">
    <w:name w:val="页脚 字符"/>
    <w:basedOn w:val="7"/>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3</Pages>
  <Words>518</Words>
  <Characters>2953</Characters>
  <Lines>24</Lines>
  <Paragraphs>6</Paragraphs>
  <TotalTime>5</TotalTime>
  <ScaleCrop>false</ScaleCrop>
  <LinksUpToDate>false</LinksUpToDate>
  <CharactersWithSpaces>3465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2023-04-15T17:43:00Z</dcterms:created>
  <dc:creator>海天网络VX9517534</dc:creator>
  <dc:description>海天网络VX9517534</dc:description>
  <cp:keywords>海天网络VX9517534</cp:keywords>
  <cp:lastModifiedBy>黎明</cp:lastModifiedBy>
  <dcterms:modified xsi:type="dcterms:W3CDTF">2023-04-15T22:11:55Z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7DA17038DB4244E3A43692DEFB990977_11</vt:lpwstr>
  </property>
</Properties>
</file>