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大型游乐设施安全总监岗位职责</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大型游乐设施安全总监负责主导公司大型游乐设施安全管理工作，直接对本企业主要负责人负责，协助主要负责人做好大型游乐设施安全管理工作，确保公司大型游乐设施稳定及安全使用。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bookmarkStart w:id="0" w:name="_GoBack"/>
      <w:r>
        <w:rPr>
          <w:rFonts w:hint="eastAsia" w:ascii="微软雅黑" w:hAnsi="微软雅黑" w:eastAsia="微软雅黑" w:cs="微软雅黑"/>
          <w:color w:val="333333"/>
          <w:kern w:val="0"/>
          <w:sz w:val="24"/>
          <w:szCs w:val="24"/>
        </w:rPr>
        <w:t>（一）组织宣传、贯彻大型游乐设施有关的法律法规、安全技术规范及相关标准；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（二）组织制定本单位大型游乐设施使用安全管理制度，督促落实大型游乐设施使用安全责任制，组织开展大型游乐设施安全合规管理；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（三）组织制定大型游乐设施事故应急专项预案并开展应急演练；</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（四）落实大型游乐设施安全事故报告义务，采取措施防止事故扩大；</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（五）对大型游乐设施安全员进行安全教育和技术培训，监督、指导大型游乐设施安全员做好相关工作；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（六）按照规定组织开展大型游乐设施使用安全风险评价工作，拟定并督促落实大型游乐设施使用安全风险防控措施；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（七）对本单位大型游乐设施使用安全管理工作进行检查，及时向主要负责人报告有关情况，提出改进措施；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（八）接受和配合有关部门开展大型游乐设施安全监督检查、监督检验、定期检验和事故调查等工作，如实提供有关材料；</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（九）履行市场监督管理部门规定和本单位要求的其他大型游乐设施使用安全管理职责。</w:t>
      </w:r>
    </w:p>
    <w:bookmarkEnd w:id="0"/>
    <w:p>
      <w:pPr>
        <w:widowControl/>
        <w:shd w:val="clear" w:color="auto" w:fill="FFFFFF"/>
        <w:spacing w:line="630" w:lineRule="atLeast"/>
        <w:ind w:firstLine="480" w:firstLineChars="200"/>
        <w:jc w:val="left"/>
        <w:rPr>
          <w:rFonts w:ascii="微软雅黑" w:hAnsi="微软雅黑" w:eastAsia="微软雅黑" w:cs="微软雅黑"/>
          <w:color w:val="333333"/>
          <w:kern w:val="0"/>
          <w:sz w:val="24"/>
          <w:szCs w:val="24"/>
        </w:rPr>
      </w:pP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1MDY5Mzg3NjQxZmUxYjY2ZGJhMmZmNjBmYjBiOGIifQ=="/>
  </w:docVars>
  <w:rsids>
    <w:rsidRoot w:val="007879E4"/>
    <w:rsid w:val="000065A3"/>
    <w:rsid w:val="000260EA"/>
    <w:rsid w:val="00083811"/>
    <w:rsid w:val="000E1021"/>
    <w:rsid w:val="00130E81"/>
    <w:rsid w:val="00136ACE"/>
    <w:rsid w:val="001E2BD9"/>
    <w:rsid w:val="00214AF6"/>
    <w:rsid w:val="00226E05"/>
    <w:rsid w:val="002A1D12"/>
    <w:rsid w:val="002A1D1B"/>
    <w:rsid w:val="002F7678"/>
    <w:rsid w:val="00333905"/>
    <w:rsid w:val="003E4096"/>
    <w:rsid w:val="0043784A"/>
    <w:rsid w:val="004E4032"/>
    <w:rsid w:val="005414F3"/>
    <w:rsid w:val="00570355"/>
    <w:rsid w:val="005A09E2"/>
    <w:rsid w:val="005B1033"/>
    <w:rsid w:val="005B6A19"/>
    <w:rsid w:val="005C098C"/>
    <w:rsid w:val="00601169"/>
    <w:rsid w:val="00601CEA"/>
    <w:rsid w:val="006074F1"/>
    <w:rsid w:val="006D2E6A"/>
    <w:rsid w:val="006D46C1"/>
    <w:rsid w:val="00747C8F"/>
    <w:rsid w:val="00786C37"/>
    <w:rsid w:val="007879E4"/>
    <w:rsid w:val="007956B0"/>
    <w:rsid w:val="007B4C73"/>
    <w:rsid w:val="008464FE"/>
    <w:rsid w:val="008508CB"/>
    <w:rsid w:val="00867CBE"/>
    <w:rsid w:val="008B380B"/>
    <w:rsid w:val="009269B2"/>
    <w:rsid w:val="009504DB"/>
    <w:rsid w:val="009565B2"/>
    <w:rsid w:val="00A77B51"/>
    <w:rsid w:val="00AE38F1"/>
    <w:rsid w:val="00BC0062"/>
    <w:rsid w:val="00BE77B1"/>
    <w:rsid w:val="00BF0BBE"/>
    <w:rsid w:val="00C1089D"/>
    <w:rsid w:val="00C32ECB"/>
    <w:rsid w:val="00C47A09"/>
    <w:rsid w:val="00C55EEF"/>
    <w:rsid w:val="00CA4429"/>
    <w:rsid w:val="00CC4155"/>
    <w:rsid w:val="00D32E2D"/>
    <w:rsid w:val="00D94099"/>
    <w:rsid w:val="00E01EE6"/>
    <w:rsid w:val="00E43225"/>
    <w:rsid w:val="00E71840"/>
    <w:rsid w:val="00EB625F"/>
    <w:rsid w:val="00EF4028"/>
    <w:rsid w:val="00F1048B"/>
    <w:rsid w:val="00F55EEE"/>
    <w:rsid w:val="00FA7E4E"/>
    <w:rsid w:val="00FC272B"/>
    <w:rsid w:val="05BC0544"/>
    <w:rsid w:val="3C702158"/>
    <w:rsid w:val="3F341CFB"/>
    <w:rsid w:val="48CB39B9"/>
    <w:rsid w:val="7A454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60661-EEB8-4A42-BE1D-B2E6EC4722ED}">
  <ds:schemaRefs/>
</ds:datastoreItem>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78</Words>
  <Characters>446</Characters>
  <Lines>3</Lines>
  <Paragraphs>1</Paragraphs>
  <TotalTime>0</TotalTime>
  <ScaleCrop>false</ScaleCrop>
  <LinksUpToDate>false</LinksUpToDate>
  <CharactersWithSpaces>523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2023-04-15T18:03:00Z</dcterms:created>
  <dc:creator>海天网络VX9517534</dc:creator>
  <dc:description>海天网络VX9517534</dc:description>
  <cp:keywords>海天网络VX9517534</cp:keywords>
  <cp:lastModifiedBy>黎明</cp:lastModifiedBy>
  <dcterms:modified xsi:type="dcterms:W3CDTF">2023-04-19T05:19:28Z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B770A2B04B2D4C8AAAD164300164F33A_13</vt:lpwstr>
  </property>
</Properties>
</file>