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2"/>
        <w:tblW w:w="102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73"/>
        <w:gridCol w:w="1888"/>
        <w:gridCol w:w="1588"/>
        <w:gridCol w:w="2158"/>
        <w:gridCol w:w="1339"/>
        <w:gridCol w:w="1503"/>
      </w:tblGrid>
      <w:tr>
        <w:trPr>
          <w:trHeight w:val="1254" w:hRule="atLeast"/>
        </w:trPr>
        <w:tc>
          <w:tcPr>
            <w:tcW w:w="10249" w:type="dxa"/>
            <w:vAlign w:val="top"/>
            <w:gridSpan w:val="6"/>
          </w:tcPr>
          <w:p>
            <w:pPr>
              <w:ind w:left="288"/>
              <w:spacing w:before="182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使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用</w:t>
            </w:r>
            <w:r>
              <w:rPr>
                <w:rFonts w:ascii="SimSun" w:hAnsi="SimSun" w:eastAsia="SimSun" w:cs="SimSun"/>
                <w:sz w:val="26"/>
                <w:szCs w:val="26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单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位</w:t>
            </w:r>
            <w:r>
              <w:rPr>
                <w:rFonts w:ascii="SimSun" w:hAnsi="SimSun" w:eastAsia="SimSun" w:cs="SimSun"/>
                <w:sz w:val="26"/>
                <w:szCs w:val="26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全</w:t>
            </w:r>
            <w:r>
              <w:rPr>
                <w:rFonts w:ascii="SimSun" w:hAnsi="SimSun" w:eastAsia="SimSun" w:cs="SimSun"/>
                <w:sz w:val="26"/>
                <w:szCs w:val="26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员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每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7"/>
              </w:rPr>
              <w:t>日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8"/>
              </w:rPr>
              <w:t>全</w:t>
            </w:r>
          </w:p>
          <w:p>
            <w:pPr>
              <w:ind w:left="4464"/>
              <w:spacing w:before="30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检</w:t>
            </w:r>
            <w:r>
              <w:rPr>
                <w:rFonts w:ascii="SimSun" w:hAnsi="SimSun" w:eastAsia="SimSun" w:cs="SimSun"/>
                <w:sz w:val="26"/>
                <w:szCs w:val="26"/>
                <w:spacing w:val="-1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查</w:t>
            </w:r>
            <w:r>
              <w:rPr>
                <w:rFonts w:ascii="SimSun" w:hAnsi="SimSun" w:eastAsia="SimSun" w:cs="SimSun"/>
                <w:sz w:val="26"/>
                <w:szCs w:val="26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-1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2338" w:hRule="atLeast"/>
        </w:trPr>
        <w:tc>
          <w:tcPr>
            <w:tcW w:w="10249" w:type="dxa"/>
            <w:vAlign w:val="top"/>
            <w:gridSpan w:val="6"/>
          </w:tcPr>
          <w:p>
            <w:pPr>
              <w:ind w:left="108" w:right="1"/>
              <w:spacing w:before="125" w:line="33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说明：大型游乐设施安全员要在大型游乐设施每日投入使用前，根据《大型游乐设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施安全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风险管控清单》试运行和例行安全检查，对安全保护装置进行检查确认，并对运行中的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9"/>
              </w:rPr>
              <w:t>型游乐设施进行巡检，形成《每日大型游乐设施安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0"/>
              </w:rPr>
              <w:t>全检查记录》。对发现的安全风险隐患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，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应当立即通知维修人员予以整改，及时上报大型游乐设施安全总监或者单位主要负责人</w:t>
            </w:r>
            <w:r>
              <w:rPr>
                <w:rFonts w:ascii="SimSun" w:hAnsi="SimSun" w:eastAsia="SimSun" w:cs="SimSun"/>
                <w:sz w:val="26"/>
                <w:szCs w:val="26"/>
                <w:spacing w:val="-5"/>
              </w:rPr>
              <w:t>。</w:t>
            </w:r>
          </w:p>
          <w:p>
            <w:pPr>
              <w:ind w:left="108"/>
              <w:spacing w:before="1" w:line="217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2"/>
              </w:rPr>
              <w:t>未发现问题的，也应当予以记录，实行零风险报告。</w:t>
            </w:r>
          </w:p>
        </w:tc>
      </w:tr>
      <w:tr>
        <w:trPr>
          <w:trHeight w:val="699" w:hRule="atLeast"/>
        </w:trPr>
        <w:tc>
          <w:tcPr>
            <w:tcW w:w="1773" w:type="dxa"/>
            <w:vAlign w:val="top"/>
          </w:tcPr>
          <w:p>
            <w:pPr>
              <w:ind w:left="358"/>
              <w:spacing w:before="220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单位名称</w:t>
            </w:r>
          </w:p>
        </w:tc>
        <w:tc>
          <w:tcPr>
            <w:tcW w:w="347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ind w:left="559"/>
              <w:spacing w:before="22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检查日期</w:t>
            </w:r>
          </w:p>
        </w:tc>
        <w:tc>
          <w:tcPr>
            <w:tcW w:w="284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61" w:type="dxa"/>
            <w:vAlign w:val="top"/>
            <w:gridSpan w:val="2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29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7"/>
              </w:rPr>
              <w:t>检查项目</w:t>
            </w:r>
          </w:p>
        </w:tc>
        <w:tc>
          <w:tcPr>
            <w:tcW w:w="158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87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检查结果</w:t>
            </w:r>
          </w:p>
        </w:tc>
        <w:tc>
          <w:tcPr>
            <w:tcW w:w="215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99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不符合项说明</w:t>
            </w:r>
          </w:p>
        </w:tc>
        <w:tc>
          <w:tcPr>
            <w:tcW w:w="1339" w:type="dxa"/>
            <w:vAlign w:val="top"/>
          </w:tcPr>
          <w:p>
            <w:pPr>
              <w:ind w:left="161" w:right="105"/>
              <w:spacing w:before="169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及责任人</w:t>
            </w:r>
          </w:p>
        </w:tc>
        <w:tc>
          <w:tcPr>
            <w:tcW w:w="1503" w:type="dxa"/>
            <w:vAlign w:val="top"/>
          </w:tcPr>
          <w:p>
            <w:pPr>
              <w:ind w:left="132" w:right="55"/>
              <w:spacing w:before="169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569" w:hRule="atLeast"/>
        </w:trPr>
        <w:tc>
          <w:tcPr>
            <w:tcW w:w="3661" w:type="dxa"/>
            <w:vAlign w:val="top"/>
            <w:gridSpan w:val="2"/>
          </w:tcPr>
          <w:p>
            <w:pPr>
              <w:ind w:left="95" w:firstLine="438"/>
              <w:spacing w:before="224" w:line="281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1.大型游乐设施由无资质单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位制造、安装，不符合安全技术</w:t>
            </w: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规范要求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315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61" w:type="dxa"/>
            <w:vAlign w:val="top"/>
            <w:gridSpan w:val="2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95" w:right="3" w:firstLine="419"/>
              <w:spacing w:before="85" w:line="25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2.大型游乐设施未经特种设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</w:rPr>
              <w:t>备检验机构检验或检验不合格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36" w:line="64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9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61" w:type="dxa"/>
            <w:vAlign w:val="top"/>
            <w:gridSpan w:val="2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15"/>
              <w:spacing w:before="81" w:line="26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8"/>
              </w:rPr>
              <w:t>3.大型游乐设施故障未排除，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>带病运行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57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61" w:type="dxa"/>
            <w:vAlign w:val="top"/>
            <w:gridSpan w:val="2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7"/>
              <w:spacing w:before="81" w:line="26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4.擅自对大型游乐设施进行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违规维修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48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61" w:type="dxa"/>
            <w:vAlign w:val="top"/>
            <w:gridSpan w:val="2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8"/>
              <w:spacing w:before="81" w:line="25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8"/>
              </w:rPr>
              <w:t>5.作业人员(安管员)未取得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相应设备的证书，无证上岗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49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04" w:hRule="atLeast"/>
        </w:trPr>
        <w:tc>
          <w:tcPr>
            <w:tcW w:w="3661" w:type="dxa"/>
            <w:vAlign w:val="top"/>
            <w:gridSpan w:val="2"/>
          </w:tcPr>
          <w:p>
            <w:pPr>
              <w:ind w:left="491"/>
              <w:spacing w:before="260" w:line="4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4"/>
                <w:position w:val="12"/>
              </w:rPr>
              <w:t>6.在每日投入使用，未按照规</w:t>
            </w:r>
          </w:p>
          <w:p>
            <w:pPr>
              <w:ind w:left="95"/>
              <w:spacing w:line="226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定进行试运行和例行安全检查，</w:t>
            </w:r>
          </w:p>
        </w:tc>
        <w:tc>
          <w:tcPr>
            <w:tcW w:w="1588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25" w:right="845" w:bottom="0" w:left="805" w:header="0" w:footer="0" w:gutter="0"/>
        </w:sectPr>
        <w:rPr/>
      </w:pPr>
    </w:p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102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61"/>
        <w:gridCol w:w="1588"/>
        <w:gridCol w:w="2178"/>
        <w:gridCol w:w="1319"/>
        <w:gridCol w:w="1503"/>
      </w:tblGrid>
      <w:tr>
        <w:trPr>
          <w:trHeight w:val="1014" w:hRule="atLeast"/>
        </w:trPr>
        <w:tc>
          <w:tcPr>
            <w:tcW w:w="3661" w:type="dxa"/>
            <w:vAlign w:val="top"/>
          </w:tcPr>
          <w:p>
            <w:pPr>
              <w:ind w:left="105" w:right="36"/>
              <w:spacing w:before="83" w:line="25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并对安全附件和安全保护装置进</w:t>
            </w:r>
            <w:r>
              <w:rPr>
                <w:rFonts w:ascii="SimSun" w:hAnsi="SimSun" w:eastAsia="SimSun" w:cs="SimSun"/>
                <w:sz w:val="25"/>
                <w:szCs w:val="25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>行检查确认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5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09" w:hRule="atLeast"/>
        </w:trPr>
        <w:tc>
          <w:tcPr>
            <w:tcW w:w="3661" w:type="dxa"/>
            <w:vAlign w:val="top"/>
          </w:tcPr>
          <w:p>
            <w:pPr>
              <w:ind w:left="105" w:right="29" w:firstLine="389"/>
              <w:spacing w:before="240" w:line="275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7.未将按安全注意事项和警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示标志置于易于为乘客注意的显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>著位置</w:t>
            </w:r>
          </w:p>
        </w:tc>
        <w:tc>
          <w:tcPr>
            <w:tcW w:w="158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81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9" w:hRule="atLeast"/>
        </w:trPr>
        <w:tc>
          <w:tcPr>
            <w:tcW w:w="3661" w:type="dxa"/>
            <w:vAlign w:val="top"/>
          </w:tcPr>
          <w:p>
            <w:pPr>
              <w:ind w:left="105" w:right="34" w:firstLine="409"/>
              <w:spacing w:before="251" w:line="298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8.未对大型游乐设施的主要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受力结构件、安全附件、安全保</w:t>
            </w: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护装置、运行机构、控制系统等</w:t>
            </w:r>
          </w:p>
          <w:p>
            <w:pPr>
              <w:ind w:left="105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进行日常维护保养</w:t>
            </w:r>
          </w:p>
        </w:tc>
        <w:tc>
          <w:tcPr>
            <w:tcW w:w="1588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81" w:line="65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1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31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1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61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122" w:firstLine="409"/>
              <w:spacing w:before="82" w:line="253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9.未对大型游乐设施运行及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日常维护保养情况进行记录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22" w:line="611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7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6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10.作业人员违规操作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24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79" w:hRule="atLeast"/>
        </w:trPr>
        <w:tc>
          <w:tcPr>
            <w:tcW w:w="366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8"/>
              <w:spacing w:before="78" w:line="26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11.一个月内未进行安全教育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0"/>
              </w:rPr>
              <w:t>培训，安全责任意识不强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15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6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78" w:line="439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  <w:position w:val="14"/>
              </w:rPr>
              <w:t>12.未建立安全管理体系，未</w:t>
            </w:r>
          </w:p>
          <w:p>
            <w:pPr>
              <w:ind w:left="105"/>
              <w:spacing w:line="22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2"/>
              </w:rPr>
              <w:t>落实管理机构和责任人员</w:t>
            </w:r>
          </w:p>
        </w:tc>
        <w:tc>
          <w:tcPr>
            <w:tcW w:w="1588" w:type="dxa"/>
            <w:vAlign w:val="top"/>
          </w:tcPr>
          <w:p>
            <w:pPr>
              <w:ind w:left="113"/>
              <w:spacing w:before="256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9" w:hRule="atLeast"/>
        </w:trPr>
        <w:tc>
          <w:tcPr>
            <w:tcW w:w="3661" w:type="dxa"/>
            <w:vAlign w:val="top"/>
          </w:tcPr>
          <w:p>
            <w:pPr>
              <w:ind w:left="105" w:firstLine="429"/>
              <w:spacing w:before="267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13.未建立安全管理制度和大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>型游乐设施技术档案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9" w:hRule="atLeast"/>
        </w:trPr>
        <w:tc>
          <w:tcPr>
            <w:tcW w:w="3661" w:type="dxa"/>
            <w:vAlign w:val="top"/>
          </w:tcPr>
          <w:p>
            <w:pPr>
              <w:ind w:left="105" w:firstLine="419"/>
              <w:spacing w:before="278" w:line="26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14.未建立事故应急预案，未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>开展预案的演练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4" w:hRule="atLeast"/>
        </w:trPr>
        <w:tc>
          <w:tcPr>
            <w:tcW w:w="3661" w:type="dxa"/>
            <w:vAlign w:val="top"/>
          </w:tcPr>
          <w:p>
            <w:pPr>
              <w:ind w:left="522"/>
              <w:spacing w:before="249" w:line="417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  <w:position w:val="12"/>
              </w:rPr>
              <w:t>15.未办理大型游乐设施使用</w:t>
            </w:r>
          </w:p>
          <w:p>
            <w:pPr>
              <w:ind w:left="105"/>
              <w:spacing w:before="1" w:line="23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4"/>
              </w:rPr>
              <w:t>登记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845" w:bottom="0" w:left="805" w:header="0" w:footer="0" w:gutter="0"/>
        </w:sectPr>
        <w:rPr/>
      </w:pPr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81"/>
        <w:gridCol w:w="1588"/>
        <w:gridCol w:w="2158"/>
        <w:gridCol w:w="1319"/>
        <w:gridCol w:w="1513"/>
      </w:tblGrid>
      <w:tr>
        <w:trPr>
          <w:trHeight w:val="1193" w:hRule="atLeast"/>
        </w:trPr>
        <w:tc>
          <w:tcPr>
            <w:tcW w:w="3681" w:type="dxa"/>
            <w:vAlign w:val="top"/>
          </w:tcPr>
          <w:p>
            <w:pPr>
              <w:ind w:left="95" w:firstLine="459"/>
              <w:spacing w:before="247" w:line="27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16.大型游乐设施安全事故处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置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7" w:hRule="atLeast"/>
        </w:trPr>
        <w:tc>
          <w:tcPr>
            <w:tcW w:w="3681" w:type="dxa"/>
            <w:vAlign w:val="top"/>
          </w:tcPr>
          <w:p>
            <w:pPr>
              <w:ind w:left="95" w:firstLine="459"/>
              <w:spacing w:before="252" w:line="25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17.前次检查发现问题整改情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5"/>
                <w:szCs w:val="25"/>
                <w:spacing w:val="56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。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78" w:hRule="atLeast"/>
        </w:trPr>
        <w:tc>
          <w:tcPr>
            <w:tcW w:w="368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95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使用情况说明</w:t>
            </w:r>
          </w:p>
        </w:tc>
        <w:tc>
          <w:tcPr>
            <w:tcW w:w="6578" w:type="dxa"/>
            <w:vAlign w:val="top"/>
            <w:gridSpan w:val="4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087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正常使用(</w:t>
            </w:r>
            <w:r>
              <w:rPr>
                <w:rFonts w:ascii="SimSun" w:hAnsi="SimSun" w:eastAsia="SimSun" w:cs="SimSun"/>
                <w:sz w:val="26"/>
                <w:szCs w:val="26"/>
                <w:spacing w:val="10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);未使用(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)</w:t>
            </w:r>
          </w:p>
        </w:tc>
      </w:tr>
      <w:tr>
        <w:trPr>
          <w:trHeight w:val="1008" w:hRule="atLeast"/>
        </w:trPr>
        <w:tc>
          <w:tcPr>
            <w:tcW w:w="5269" w:type="dxa"/>
            <w:vAlign w:val="top"/>
            <w:gridSpan w:val="2"/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4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14"/>
              </w:rPr>
              <w:t>核查人员签名：</w:t>
            </w:r>
          </w:p>
        </w:tc>
        <w:tc>
          <w:tcPr>
            <w:tcW w:w="4990" w:type="dxa"/>
            <w:vAlign w:val="top"/>
            <w:gridSpan w:val="3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ind w:left="1185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日</w:t>
            </w:r>
          </w:p>
        </w:tc>
      </w:tr>
      <w:tr>
        <w:trPr>
          <w:trHeight w:val="1003" w:hRule="atLeast"/>
        </w:trPr>
        <w:tc>
          <w:tcPr>
            <w:tcW w:w="5269" w:type="dxa"/>
            <w:vAlign w:val="top"/>
            <w:gridSpan w:val="2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17"/>
              </w:rPr>
              <w:t>负责人签名：</w:t>
            </w:r>
          </w:p>
        </w:tc>
        <w:tc>
          <w:tcPr>
            <w:tcW w:w="4990" w:type="dxa"/>
            <w:vAlign w:val="top"/>
            <w:gridSpan w:val="3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1185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25" w:right="825" w:bottom="0" w:left="81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2023-05-16T23:31:10Z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2023-05-16T23:31:10</vt:filetime>
  </property>
  <property fmtid="{D5CDD505-2E9C-101B-9397-08002B2CF9AE}" pid="4" name="UsrData">
    <vt:lpwstr>6463a1b5a5c232001f68de28</vt:lpwstr>
  </property>
</Properties>
</file>